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PBV — Kosten- und Leistungsrechnung</w:t>
      </w:r>
    </w:p>
    <w:p>
      <w:r>
        <w:rPr>
          <w:color w:val="555555"/>
          <w:sz w:val="18"/>
        </w:rPr>
        <w:t xml:space="preserve">Pflege-Buchführungsverordnung</w:t>
      </w:r>
    </w:p>
    <w:p>
      <w:r>
        <w:rPr>
          <w:color w:val="555555"/>
          <w:sz w:val="18"/>
        </w:rPr>
        <w:t xml:space="preserve">Stand: 10.06.2019 (konsolidierte Textfassung, kein amtliches Inkrafttretensdatum)</w:t>
      </w:r>
    </w:p>
    <w:p>
      <w:r>
        <w:t xml:space="preserve">Die zugelassenen Pflegeeinrichtungen haben eine Kosten- und Leistungsrechnung zu führen, die eine betriebsinterne Steuerung sowie eine Beurteilung der Wirtschaftlichkeit und Leistungsfähigkeit ermöglicht. Die Kosten- und Leistungsrechnung muß die Ermittlung und Abgrenzung der Kosten der jeweiligen Betriebszweige sowie die Erstellung der Leistungsnachweise nach den Vorschriften des Achten Kapitels des Elften Buches Sozialgesetzbuch ermöglichen. Dazu gehören folgende Mindestanforderungen:</w:t>
      </w:r>
    </w:p>
    <w:p>
      <w:pPr>
        <w:ind w:left="420"/>
      </w:pPr>
      <w:r>
        <w:t xml:space="preserve">1. Die Pflegeeinrichtungen haben die auf Grund ihrer Aufgaben und Strukturen erforderlichen Kostenstellen zu bilden; dabei kann der Kostenstellenrahmen nach dem Muster der Anlage 5 angewendet werden.</w:t>
      </w:r>
    </w:p>
    <w:p>
      <w:pPr>
        <w:ind w:left="420"/>
      </w:pPr>
      <w:r>
        <w:t xml:space="preserve">2. Die Kosten sind aus der Buchführung nachprüfbar herzuleiten.</w:t>
      </w:r>
    </w:p>
    <w:p>
      <w:pPr>
        <w:ind w:left="420"/>
      </w:pPr>
      <w:r>
        <w:t xml:space="preserve">3. Die Kosten und Leistungen sind verursachungsgerecht nach Kostenstellen zu erfassen; sie sind darüber hinaus den anfordernden Kostenstellen zuzuordnen, soweit dies für die in Satz 1 genannten Zwecke erforderlich ist.</w:t>
      </w:r>
    </w:p>
    <w:p>
      <w:pPr>
        <w:ind w:left="420"/>
      </w:pPr>
      <w:r>
        <w:t xml:space="preserve">4. Die Kosten und Leistungen sind verursachungsgerecht den Kostenträgern zuzuordnen; dabei kann die Kostenträgerübersicht nach dem Muster der Anlage 6 angewendet werden.</w:t>
      </w:r>
    </w:p>
    <w:p>
      <w:pPr>
        <w:ind w:left="420"/>
      </w:pPr>
      <w:r>
        <w:t xml:space="preserve">5. Bei Einrichtungen nach § 4 Abs. 2 oder 3 muß eine verursachungsgerechte Abgrenzung der Kosten und Erträge mit anteiliger Zuordnung auf die verschiedenen Einrichtungen erfolgen; § 4 Abs. 3 Nr. 2 Satz 2 gilt entsprechend.</w:t>
      </w:r>
    </w:p>
    <w:p>
      <w:r>
        <w:rPr>
          <w:color w:val="555555"/>
          <w:sz w:val="17"/>
        </w:rPr>
        <w:t xml:space="preserve">Zitiervorschlag: § 7 PBV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