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PBRüV — Übergang des Rückforderungsanspruchs auf den Bund</w:t>
      </w:r>
    </w:p>
    <w:p>
      <w:r>
        <w:rPr>
          <w:color w:val="555555"/>
          <w:sz w:val="18"/>
        </w:rPr>
        <w:t xml:space="preserve">Preisbremsen-Entlastungsrückforderungsverordnung</w:t>
      </w:r>
    </w:p>
    <w:p>
      <w:r>
        <w:rPr>
          <w:color w:val="555555"/>
          <w:sz w:val="18"/>
        </w:rPr>
        <w:t xml:space="preserve">Stand: 04.04.2024 (konsolidierte Textfassung, kein amtliches Inkrafttretensdatum)</w:t>
      </w:r>
    </w:p>
    <w:p>
      <w:r>
        <w:t xml:space="preserve">Der Rückforderungsanspruch des Energieversorgungsunternehmens gegen einen Letztverbraucher oder einen Kunden nach § 12 Absatz 2a Satz 1 des Strompreisbremsegesetzes oder nach § 20 Absatz 1a Satz 1 des Erdgas-Wärme-Preisbremsengesetzes sowie ein hiermit verbundener Schadensersatzanspruch wegen Verzugs gehen unter den Voraussetzungen des § 6 Absatz 1 zwei Wochen nach Ausstellung der Bestätigung durch die Prüfbehörde nach § 6 Absatz 2 auf den Bund über, soweit diese Ansprüche zu diesem Zeitpunkt noch nicht erloschen sind und sofern der Forderungsübergang nicht nach § 7 ausgeschlossen ist.</w:t>
      </w:r>
    </w:p>
    <w:p>
      <w:r>
        <w:rPr>
          <w:color w:val="555555"/>
          <w:sz w:val="17"/>
        </w:rPr>
        <w:t xml:space="preserve">Zitiervorschlag: § 5 PBRüV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https://recht.nulegal.eu/gesetze/PBR%C3%BCV/5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