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20 PBRüV — Inkrafttreten</w:t>
      </w:r>
    </w:p>
    <w:p>
      <w:r>
        <w:rPr>
          <w:color w:val="555555"/>
          <w:sz w:val="18"/>
        </w:rPr>
        <w:t xml:space="preserve">Preisbremsen-Entlastungsrückforderungsverordnung</w:t>
      </w:r>
    </w:p>
    <w:p>
      <w:r>
        <w:rPr>
          <w:color w:val="555555"/>
          <w:sz w:val="18"/>
        </w:rPr>
        <w:t xml:space="preserve">Stand: 04.04.2024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20 PBRüV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https://recht.nulegal.eu/gesetze/PBR%C3%BCV/20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20 PBRüV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