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PBRüV — Begriffsbestimmungen</w:t>
      </w:r>
    </w:p>
    <w:p>
      <w:r>
        <w:rPr>
          <w:color w:val="555555"/>
          <w:sz w:val="18"/>
        </w:rPr>
        <w:t xml:space="preserve">Preisbremsen-Entlastungsrückforderungsverordnung</w:t>
      </w:r>
    </w:p>
    <w:p>
      <w:r>
        <w:rPr>
          <w:color w:val="555555"/>
          <w:sz w:val="18"/>
        </w:rPr>
        <w:t xml:space="preserve">Stand: 04.04.2024 (konsolidierte Textfassung, kein amtliches Inkrafttretensdatum)</w:t>
      </w:r>
    </w:p>
    <w:p>
      <w:r>
        <w:t xml:space="preserve">Im Sinne dieser Verordnung ist oder sind:</w:t>
      </w:r>
    </w:p>
    <w:p>
      <w:pPr>
        <w:ind w:left="420"/>
      </w:pPr>
      <w:r>
        <w:t xml:space="preserve">1. „Energieversorgungsunternehmen“</w:t>
      </w:r>
    </w:p>
    <w:p>
      <w:pPr>
        <w:ind w:left="780"/>
      </w:pPr>
      <w:r>
        <w:t xml:space="preserve">a) ein Elektrizitätsversorgungsunternehmen im Sinne von § 2 Nummer 6 des Strompreisbremsegesetzes oder</w:t>
      </w:r>
    </w:p>
    <w:p>
      <w:pPr>
        <w:ind w:left="780"/>
      </w:pPr>
      <w:r>
        <w:t xml:space="preserve">b) ein Lieferant im Sinne von § 2 Nummer 9 des Erdgas-Wärme-Preisbremsengesetzes;</w:t>
      </w:r>
    </w:p>
    <w:p>
      <w:pPr>
        <w:ind w:left="420"/>
      </w:pPr>
      <w:r>
        <w:t xml:space="preserve">2. „Letztverbraucher“ein Letztverbraucher im Sinne von § 2 Nummer 12 des Strompreisbremsegesetzes oder ein Letztverbraucher im Sinne von § 2 Nummer 8 des Erdgas-Wärme-Preisbremsengesetzes;</w:t>
      </w:r>
    </w:p>
    <w:p>
      <w:pPr>
        <w:ind w:left="420"/>
      </w:pPr>
      <w:r>
        <w:t xml:space="preserve">3. „Kunde“ein Kunde im Sinne von § 2 Nummer 7 des Erdgas-Wärme-Preisbremsengesetzes;</w:t>
      </w:r>
    </w:p>
    <w:p>
      <w:pPr>
        <w:ind w:left="420"/>
      </w:pPr>
      <w:r>
        <w:t xml:space="preserve">4. „überzahlte Entlastungen“der Teil aller auf Basis des Strompreisbremsegesetzes und des Erdgas-Wärme-Preisbremsengesetzes an einen Letztverbraucher oder einen Kunden sowie die hiermit verbundenen Unternehmen gewährten Entlastungen, der die von der Prüfbehörde nach § 11 Absatz 1 oder § 11a Absatz 1 des Strompreisbremsegesetzes oder nach § 19 Absatz 1 des Erdgas-Wärme-Preisbremsengesetzes festgestellten absoluten oder relativen Höchstgrenzen überschreitet.</w:t>
      </w:r>
    </w:p>
    <w:p>
      <w:r>
        <w:rPr>
          <w:color w:val="555555"/>
          <w:sz w:val="17"/>
        </w:rPr>
        <w:t xml:space="preserve">Zitiervorschlag: § 2 PBRüV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https://recht.nulegal.eu/gesetze/PBR%C3%BCV/2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