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PBRüV — Ausschluss des Forderungsübergangs</w:t>
      </w:r>
    </w:p>
    <w:p>
      <w:r>
        <w:rPr>
          <w:color w:val="555555"/>
          <w:sz w:val="18"/>
        </w:rPr>
        <w:t xml:space="preserve">Preisbremsen-Entlastungsrückforderungsverordnung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(1) Bei einer Aufforderung zur Auskehr überzahlter Entlastungen nach § 11 Absatz 10 Satz 1 des Strompreisbremsegesetzes ist ein Forderungsübergang auf den Bund ausgeschlossen, wenn das Energieversorgungsunternehmen mit dem regelzonenverantwortlichen Übertragungsnetzbetreiber hinsichtlich seiner Erstattungsansprüche oder Vorauszahlungsansprüche nach § 20 oder § 22a des Strompreisbremsegesetzes bereits vor Zugang der Aufforderung endabgerechnet hat.</w:t>
      </w:r>
    </w:p>
    <w:p>
      <w:r>
        <w:t xml:space="preserve">(2) Bei einer Aufforderung zur Auskehr überzahlter Entlastungen nach § 19 Absatz 10 Satz 1 des Erdgas-Wärme-Preisbremsengesetzes ist ein Forderungsübergang auf den Bund ausgeschlossen, wenn das Energieversorgungsunternehmen mit dem Beauftragten hinsichtlich seiner Erstattungsansprüche oder Vorauszahlungsansprüche nach § 31 oder § 32 des Erdgas-Wärme-Preisbremsengesetzes bereits vor Zugang der Aufforderung nach § 34 Absatz 1 oder Absatz 3 des Erdgas-Wärme-Preisbremsengesetzes endabgerechnet hat.</w:t>
      </w:r>
    </w:p>
    <w:p>
      <w:r>
        <w:rPr>
          <w:color w:val="555555"/>
          <w:sz w:val="17"/>
        </w:rPr>
        <w:t xml:space="preserve">Zitiervorschlag: § 15 PBRüV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https://recht.nulegal.eu/gesetze/PBR%C3%BCV/15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