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PBRüV — Anforderungen an die Aufforderung der Prüfbehörde zur Auskehr überzahlter Entlastungen</w:t>
      </w:r>
    </w:p>
    <w:p>
      <w:r>
        <w:rPr>
          <w:color w:val="555555"/>
          <w:sz w:val="18"/>
        </w:rPr>
        <w:t xml:space="preserve">Preisbremsen-Entlastungsrückforderungsverordnung</w:t>
      </w:r>
    </w:p>
    <w:p>
      <w:r>
        <w:rPr>
          <w:color w:val="555555"/>
          <w:sz w:val="18"/>
        </w:rPr>
        <w:t xml:space="preserve">Stand: 04.04.2024 (konsolidierte Textfassung, kein amtliches Inkrafttretensdatum)</w:t>
      </w:r>
    </w:p>
    <w:p>
      <w:r>
        <w:t xml:space="preserve">(1) Macht die Prüfbehörde von ihrer Möglichkeit der Aufforderung zur Auskehr überzahlter Entlastungen nach § 11 Absatz 10 Satz 1 des Strompreisbremsegesetzes oder nach § 19 Absatz 10 Satz 1 des Erdgas-Wärme-Preisbremsengesetzes Gebrauch, fordert sie den Letztverbraucher oder Kunden auf zivilrechtlichem Weg in Textform auf, die überzahlten Entlastungen innerhalb von vier Wochen ab Zugang der Aufforderung an die Prüfbehörde auszukehren.</w:t>
      </w:r>
    </w:p>
    <w:p>
      <w:r>
        <w:t xml:space="preserve">(2) Erlangt die Prüfbehörde davon Kenntnis, dass der Rückforderungsanspruch, auf den sich die Aufforderung zur Auskehr überzahlter Entlastungen nach § 11 Absatz 10 Satz 1 des Strompreisbremsegesetzes oder nach § 19 Absatz 10 Satz 1 des Erdgas-Wärme-Preisbremsengesetzes bezieht, ganz oder teilweise erloschen ist, hat die Prüfbehörde die Aufforderung unverzüglich entsprechend zu korrigieren.</w:t>
      </w:r>
    </w:p>
    <w:p>
      <w:r>
        <w:rPr>
          <w:color w:val="555555"/>
          <w:sz w:val="17"/>
        </w:rPr>
        <w:t xml:space="preserve">Zitiervorschlag: § 13 PBRüV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https://recht.nulegal.eu/gesetze/PBR%C3%BCV/13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