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PBRüV — Zweck der Verordnung</w:t>
      </w:r>
    </w:p>
    <w:p>
      <w:r>
        <w:rPr>
          <w:color w:val="555555"/>
          <w:sz w:val="18"/>
        </w:rPr>
        <w:t xml:space="preserve">Preisbremsen-Entlastungsrückforderungsverordnung</w:t>
      </w:r>
    </w:p>
    <w:p>
      <w:r>
        <w:rPr>
          <w:color w:val="555555"/>
          <w:sz w:val="18"/>
        </w:rPr>
        <w:t xml:space="preserve">Stand: 04.04.2024 (konsolidierte Textfassung, kein amtliches Inkrafttretensdatum)</w:t>
      </w:r>
    </w:p>
    <w:p>
      <w:r>
        <w:t xml:space="preserve">Diese Verordnung regelt</w:t>
      </w:r>
    </w:p>
    <w:p>
      <w:pPr>
        <w:ind w:left="420"/>
      </w:pPr>
      <w:r>
        <w:t xml:space="preserve">1. Näheres betreffend die Rückforderung von an Letztverbraucher oder Kunden gezahlten Entlastungen, die die von der Prüfbehörde nach § 11 Absatz 1 oder nach § 11a Absatz 1 des Strompreisbremsegesetzes vom 20. Dezember 2022 (BGBl. I S. 2512), das zuletzt durch Artikel 12a des Gesetzes vom 22. Dezember 2023 (BGBl. 2023 I Nr. 405) geändert worden ist, in der jeweils geltenden Fassung, oder nach § 19 Absatz 1 des Erdgas-Wärme-Preisbremsengesetzes vom 20. Dezember 2022 (BGBl. I S. 2560, 2894), das zuletzt durch Artikel 1 des Gesetzes vom 26. Juli 2023 (BGBl. 2023 I Nr. 202) geändert worden ist, in der jeweils geltenden Fassung, festgestellten absoluten oder relativen Höchstgrenzen überschreiten,</w:t>
      </w:r>
    </w:p>
    <w:p>
      <w:pPr>
        <w:ind w:left="420"/>
      </w:pPr>
      <w:r>
        <w:t xml:space="preserve">2. Näheres betreffend die Anordnung der Prüfbehörde gegenüber einem Energieversorgungsunternehmen zur Geltendmachung eines gegen einen Letztverbraucher oder gegen einen Kunden bestehenden Rückforderungsanspruchs des Energieversorgungsunternehmens,</w:t>
      </w:r>
    </w:p>
    <w:p>
      <w:pPr>
        <w:ind w:left="420"/>
      </w:pPr>
      <w:r>
        <w:t xml:space="preserve">3. wie, unter welchen Voraussetzungen und mit welchen Folgen ein gegen einen Letztverbraucher oder einen Kunden bestehender Rückforderungsanspruch eines Energieversorgungsunternehmens nach § 12 Absatz 2a Satz 1 des Strompreisbremsegesetzes oder nach § 20 Absatz 1a Satz 1 des Erdgas-Wärme-Preisbremsengesetzes auf den Bund übergeht und von der Prüfbehörde geltend gemacht wird, und</w:t>
      </w:r>
    </w:p>
    <w:p>
      <w:pPr>
        <w:ind w:left="420"/>
      </w:pPr>
      <w:r>
        <w:t xml:space="preserve">4. Näheres betreffend die Aufforderung der Prüfbehörde gegenüber einem Letztverbraucher oder gegenüber einem Kunden zur Rückzahlung überzahlter Entlastungen an den Bund sowie die hiermit verbundenen Rechtsfolgen.</w:t>
      </w:r>
    </w:p>
    <w:p>
      <w:r>
        <w:rPr>
          <w:color w:val="555555"/>
          <w:sz w:val="17"/>
        </w:rPr>
        <w:t xml:space="preserve">Zitiervorschlag: § 1 PBRüV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https://recht.nulegal.eu/gesetze/PBR%C3%BCV/1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