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PBOWiZV</w:t>
      </w:r>
    </w:p>
    <w:p>
      <w:r>
        <w:rPr>
          <w:color w:val="555555"/>
          <w:sz w:val="18"/>
        </w:rPr>
        <w:t xml:space="preserve">Preisbremsenordnungswidrigkeiten-Zuständigkeitsverordnung</w:t>
      </w:r>
    </w:p>
    <w:p>
      <w:r>
        <w:rPr>
          <w:color w:val="555555"/>
          <w:sz w:val="18"/>
        </w:rPr>
        <w:t xml:space="preserve">Stand: 01.09.2023 (konsolidierte Textfassung, kein amtliches Inkrafttretensdatum)</w:t>
      </w:r>
    </w:p>
    <w:p>
      <w:r>
        <w:t xml:space="preserve">Auf Grund des § 48 Absatz 1 Nummer 1a des Strompreisbremsegesetzes vom 20. Dezember 2022 (BGBl. I S. 2512), dessen Nummer 1a durch Artikel 2 Nummer 28 Buchstabe a des Gesetzes vom 26. Juli 2023 (BGBl. 2023 I Nr. 202), eingefügt worden ist, verordnet das Bundesministerium für Wirtschaft und Klimaschutz im Einvernehmen mit dem Bundesministerium der Finanzen:</w:t>
      </w:r>
    </w:p>
    <w:p>
      <w:r>
        <w:rPr>
          <w:color w:val="555555"/>
          <w:sz w:val="17"/>
        </w:rPr>
        <w:t xml:space="preserve">Zitiervorschlag: Eingangsformel PBOWiZV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https://recht.nulegal.eu/gesetze/PBOWiZV/eingangsformel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