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PBOWiZV — Inkrafttreten</w:t>
      </w:r>
    </w:p>
    <w:p>
      <w:r>
        <w:rPr>
          <w:color w:val="555555"/>
          <w:sz w:val="18"/>
        </w:rPr>
        <w:t xml:space="preserve">Preisbremsenordnungswidrigkeiten-Zuständigkeitsverordnung</w:t>
      </w:r>
    </w:p>
    <w:p>
      <w:r>
        <w:rPr>
          <w:color w:val="555555"/>
          <w:sz w:val="18"/>
        </w:rPr>
        <w:t xml:space="preserve">Stand: 01.09.2023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PBOWiZV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https://recht.nulegal.eu/gesetze/PBOWiZV/2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