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PBOWiZV — Zuständigkeit des Bundesamtes für Wirtschaft und Ausfuhrkontrolle</w:t>
      </w:r>
    </w:p>
    <w:p>
      <w:r>
        <w:rPr>
          <w:color w:val="555555"/>
          <w:sz w:val="18"/>
        </w:rPr>
        <w:t xml:space="preserve">Preisbremsenordnungswidrigkeiten-Zuständigkeitsverordnung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Verwaltungsbehörde im Sinne des § 36 Absatz 1 Nummer 1 des Gesetzes über Ordnungswidrigkeiten ist sowohl in den Fällen des § 43 Absatz 4 Nummer 3 des Strompreisbremsegesetzes vom 20. Dezember 2022 (BGBl. I S. 2512) in der jeweils geltenden Fassung als auch in den Fällen des § 38 Absatz 4 des Erdgas-Wärme-Preisbremsengesetzes vom 20. Dezember 2022 (BGBl. I S. 2560, 2894) in der jeweils geltenden Fassung das Bundesamt für Wirtschaft und Ausfuhrkontrolle.</w:t>
      </w:r>
    </w:p>
    <w:p>
      <w:r>
        <w:rPr>
          <w:color w:val="555555"/>
          <w:sz w:val="17"/>
        </w:rPr>
        <w:t xml:space="preserve">Zitiervorschlag: § 1 PBOWiZV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https://recht.nulegal.eu/gesetze/PBOWiZV/1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