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PBNUBestV 2020 — Inkrafttreten, Außerkrafttreten</w:t>
      </w:r>
    </w:p>
    <w:p>
      <w:r>
        <w:rPr>
          <w:color w:val="555555"/>
          <w:sz w:val="18"/>
        </w:rPr>
        <w:t xml:space="preserve">Verordnung zur Bestimmung der Deutschen Bank AG als Postnachfolgeunternehmen</w:t>
      </w:r>
    </w:p>
    <w:p>
      <w:r>
        <w:rPr>
          <w:color w:val="555555"/>
          <w:sz w:val="18"/>
        </w:rPr>
        <w:t xml:space="preserve">Stand: 06.06.2020 (konsolidierte Textfassung, kein amtliches Inkrafttretensdatum)</w:t>
      </w:r>
    </w:p>
    <w:p>
      <w:r>
        <w:t xml:space="preserve">(1) Diese Verordnung tritt an dem Tag in Kraft, an dem die Verschmelzung der DB Privat- und Firmenkundenbank AG auf die Deutsche Bank AG in das Handelsregister des Sitzes der Deutschen Bank AG eingetragen wird. Gleichzeitig tritt die Verordnung zur Bestimmung der Deutschen Bank Privat- und Geschäftskunden AG als Postnachfolgeunternehmen vom 18. Mai 2018 (BGBl. I S. 618; 2020 I S. 135) außer Kraft.</w:t>
      </w:r>
    </w:p>
    <w:p>
      <w:r>
        <w:t xml:space="preserve">(2) Das Bundesministerium der Finanzen gibt den Tag des Inkrafttretens dieser Verordnung im Bundesgesetzblatt bekannt.</w:t>
      </w:r>
    </w:p>
    <w:p>
      <w:r>
        <w:rPr>
          <w:color w:val="555555"/>
          <w:sz w:val="17"/>
        </w:rPr>
        <w:t xml:space="preserve">Zitiervorschlag: § 3 PBNUBestV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https://recht.nulegal.eu/gesetze/PBNUBestV%202020/3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