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PBG (Bayern) — Bindung der Staatsregierung an Stellungnahmen des Landtags</w:t>
      </w:r>
    </w:p>
    <w:p>
      <w:r>
        <w:rPr>
          <w:color w:val="555555"/>
          <w:sz w:val="18"/>
        </w:rPr>
        <w:t xml:space="preserve">Parlamentsbeteiligungsgesetz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Ist das Recht der Gesetzgebung durch die Übertragung von Hoheitsrechten auf die Europäische Union betroffen, kann die Staatsregierung in ihren verfassungsmäßigen Aufgaben durch Gesetz gebunden werden.</w:t>
      </w:r>
    </w:p>
    <w:p>
      <w:r>
        <w:t xml:space="preserve">(2) Ist das Recht der Gesetzgebung durch ein Vorhaben der Europäischen Union betroffen, hat die Staatsregierung bei ihren verfassungsmäßigen Aufgaben die Stellungnahme des Landtags maßgeblich zu berücksichtigen.</w:t>
      </w:r>
    </w:p>
    <w:p>
      <w:r>
        <w:t xml:space="preserve">(3) Bei sonstigen Vorhaben der Europäischen Union, insbesondere auf dem Gebiet der kommunalen Daseinsvorsorge, berücksichtigt die Staatsregierung die Stellungnahmen des Landtags.</w:t>
      </w:r>
    </w:p>
    <w:p>
      <w:r>
        <w:t xml:space="preserve">(4) Weicht die Staatsregierung von einer Stellungnahme des Landtags nach Abs. 2 oder 3 ab, so teilt sie dem Landtag die maßgeblichen Gründe hierfür mit.</w:t>
      </w:r>
    </w:p>
    <w:p>
      <w:r>
        <w:rPr>
          <w:color w:val="555555"/>
          <w:sz w:val="17"/>
        </w:rPr>
        <w:t xml:space="preserve">Zitiervorschlag: Art 5 PBG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