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PBG (Bayern) — Weitere Gegenstände der Unterrichtung</w:t>
      </w:r>
    </w:p>
    <w:p>
      <w:r>
        <w:rPr>
          <w:color w:val="555555"/>
          <w:sz w:val="18"/>
        </w:rPr>
        <w:t xml:space="preserve">Parlamentsbeteiligungsgesetz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Staatsregierung unterrichtet den Landtag über die Übertragung der Verhandlungsführung im Rat der Europäischen Union auf einen Vertreter der Länder. Die Staatsregierung unterrichtet den Landtag auf Verlangen über den jeweiligen Verfahrensstand.</w:t>
      </w:r>
    </w:p>
    <w:p>
      <w:r>
        <w:t xml:space="preserve">(2) Die Staatsregierung übermittelt dem Landtag unverzüglich die vom jeweiligen Vorsitz des Rates der Europäischen Union vorgelegten Schwerpunkte seiner Tätigkeit.</w:t>
      </w:r>
    </w:p>
    <w:p>
      <w:r>
        <w:t xml:space="preserve">(3) Die Staatsregierung übermittelt dem Landtag unverzüglich die Ergebnisse der Europaministerkonferenzen sowie der Plenarsitzungen des Ausschusses der Regionen.</w:t>
      </w:r>
    </w:p>
    <w:p>
      <w:r>
        <w:rPr>
          <w:color w:val="555555"/>
          <w:sz w:val="17"/>
        </w:rPr>
        <w:t xml:space="preserve">Zitiervorschlag: Art 4 PBG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https://recht.nulegal.eu/gesetze/PBG/4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