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PBG (Bayern) — Umfang der Beteiligung</w:t>
      </w:r>
    </w:p>
    <w:p>
      <w:r>
        <w:rPr>
          <w:color w:val="555555"/>
          <w:sz w:val="18"/>
        </w:rPr>
        <w:t xml:space="preserve">Parlamentsbeteiligungsgesetz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Staatsregierung unterrichtet den Landtag frühzeitig über</w:t>
      </w:r>
    </w:p>
    <w:p>
      <w:r>
        <w:t xml:space="preserve">1. Vorhaben der Landesgesetzgebung,</w:t>
      </w:r>
    </w:p>
    <w:p>
      <w:r>
        <w:t xml:space="preserve">2. beabsichtigte Rechtsverordnungen, die der Zustimmung des Landtags bedürfen,</w:t>
      </w:r>
    </w:p>
    <w:p>
      <w:r>
        <w:t xml:space="preserve">3. beabsichtigte Staatsverträge und,</w:t>
      </w:r>
    </w:p>
    <w:p>
      <w:r>
        <w:t xml:space="preserve">4. soweit es sich um Gegenstände von erheblicher landespolitischer Bedeutung handelt, über</w:t>
      </w:r>
    </w:p>
    <w:p>
      <w:r>
        <w:t xml:space="preserve">a) beabsichtigte Verwaltungsabkommen,</w:t>
      </w:r>
    </w:p>
    <w:p>
      <w:r>
        <w:t xml:space="preserve">b) Angelegenheiten der Landesplanung,</w:t>
      </w:r>
    </w:p>
    <w:p>
      <w:r>
        <w:t xml:space="preserve">c) Bundesratsangelegenheiten,</w:t>
      </w:r>
    </w:p>
    <w:p>
      <w:r>
        <w:t xml:space="preserve">d) die Zusammenarbeit mit dem Bund, den Ländern, den Regionen, anderen Staaten und zwischenstaatlichen Einrichtungen.</w:t>
      </w:r>
    </w:p>
    <w:p>
      <w:r>
        <w:t xml:space="preserve">(2) In den Fällen des Abs. 1 Nr. 3 und 4 gibt die Staatsregierung dem Landtag Gelegenheit zur Stellungnahme und berücksichtigt die Stellungnahme des Landtags.</w:t>
      </w:r>
    </w:p>
    <w:p>
      <w:r>
        <w:rPr>
          <w:color w:val="555555"/>
          <w:sz w:val="17"/>
        </w:rPr>
        <w:t xml:space="preserve">Zitiervorschlag: Art 1 PBG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