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PBAZV — Regelmäßige Arbeitszeit</w:t>
      </w:r>
    </w:p>
    <w:p>
      <w:r>
        <w:rPr>
          <w:color w:val="555555"/>
          <w:sz w:val="18"/>
        </w:rPr>
        <w:t xml:space="preserve">Postbankarbeitszeitverordnung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regelmäßige Arbeitszeit beträgt im Durchschnitt 38,5 Stunden in der Woche.</w:t>
      </w:r>
    </w:p>
    <w:p>
      <w:r>
        <w:t xml:space="preserve">(2) Eine abweichende Einteilung der regelmäßigen Arbeitszeit (Mehr- oder Minderleistung an einem Tag oder in einer Woche) ist im Rahmen des § 3 der Arbeitszeitverordnung möglich. Darüber hinaus darf die Arbeitszeit an Sonn- und Feiertagen auf bis zu zwölf Stunden verlängert werden, wenn dadurch zusätzliche freie Schichten an Sonn- und Feiertagen erreicht werden.</w:t>
      </w:r>
    </w:p>
    <w:p>
      <w:r>
        <w:rPr>
          <w:color w:val="555555"/>
          <w:sz w:val="17"/>
        </w:rPr>
        <w:t xml:space="preserve">Zitiervorschlag: § 2 PBAZV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https://recht.nulegal.eu/gesetze/PBAZV/2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