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PBAZV — Anwendung der Arbeitszeitverordnung</w:t>
      </w:r>
    </w:p>
    <w:p>
      <w:r>
        <w:rPr>
          <w:color w:val="555555"/>
          <w:sz w:val="18"/>
        </w:rPr>
        <w:t xml:space="preserve">Postbankarbeitszeitverordnung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bei der DB Privat- und Firmenkundenbank AG beschäftigten Beamtinnen und Beamten gelten die Vorschriften der Arbeitszeitverordnung, soweit in den §§ 2 bis 7 nichts anderes bestimmt ist.</w:t>
      </w:r>
    </w:p>
    <w:p>
      <w:r>
        <w:rPr>
          <w:color w:val="555555"/>
          <w:sz w:val="17"/>
        </w:rPr>
        <w:t xml:space="preserve">Zitiervorschlag: § 1 PBAZV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https://recht.nulegal.eu/gesetze/PBAZV/1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