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PAuswZustV (Brandenburg) — Inkrafttreten</w:t>
      </w:r>
    </w:p>
    <w:p>
      <w:r>
        <w:rPr>
          <w:color w:val="555555"/>
          <w:sz w:val="18"/>
        </w:rPr>
        <w:t xml:space="preserve">Personalausweiszuständigkeitsverordnung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</w:t>
      </w:r>
    </w:p>
    <w:p>
      <w:r>
        <w:t xml:space="preserve">November 2010 in Kraft.</w:t>
      </w:r>
    </w:p>
    <w:p>
      <w:r>
        <w:t xml:space="preserve">Potsdam, den 19. Oktober</w:t>
      </w:r>
    </w:p>
    <w:p>
      <w:r>
        <w:t xml:space="preserve">2010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des Innern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2 PAuswZustV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https://recht.nulegal.eu/gesetze/PAuswZustV/2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