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PAuswZustV (Brandenburg) — Zuständigkeit</w:t>
      </w:r>
    </w:p>
    <w:p>
      <w:r>
        <w:rPr>
          <w:color w:val="555555"/>
          <w:sz w:val="18"/>
        </w:rPr>
        <w:t xml:space="preserve">Personalausweiszuständigkeitsverordnung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Personalausweisbehörden sind</w:t>
      </w:r>
    </w:p>
    <w:p>
      <w:r>
        <w:t xml:space="preserve">die kreisfreien Städte, die Ämter und die amtsfreien Gemeinden als örtliche</w:t>
      </w:r>
    </w:p>
    <w:p>
      <w:r>
        <w:t xml:space="preserve">Ordnungsbehörden.</w:t>
      </w:r>
    </w:p>
    <w:p>
      <w:r>
        <w:rPr>
          <w:color w:val="555555"/>
          <w:sz w:val="17"/>
        </w:rPr>
        <w:t xml:space="preserve">Zitiervorschlag: § 1 PAuswZustV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https://recht.nulegal.eu/gesetze/PAuswZustV/1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