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PAuswV — Übergangsregelungen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(1) Signaturkarten, die der Ausweishersteller zur Absicherung des elektronischen Antragsprozesses der Ausweisbehörde vor dem 1. November 2010 ausgestellt hat, behalten bis zum Ablauf der Gültigkeitsdauer ihre Geltung.</w:t>
      </w:r>
    </w:p>
    <w:p>
      <w:r>
        <w:t xml:space="preserve">(2) Abweichend von § 19 Absatz 1 Satz 1 können die Personalausweisbehörden der Länder, die nach § 23a des Bundesmeldegesetzes ein Verfahren zur elektronischen Anmeldung erproben, bis zum 30. April 2022 auch Änderungsaufkleber nach dem in Anlage 1a abgedruckten Muster verwenden.</w:t>
      </w:r>
    </w:p>
    <w:p>
      <w:r>
        <w:t xml:space="preserve">(3) Bis zum Ablauf des 31. Dezember 2032 gilt § 5 Absatz 3 Nummer 1, 3 und 4 sowie Absatz 4 Satz 4 mit den Maßgaben, dass die Frist zehn Jahre und drei Monate beträgt und wie folgt zu laufen beginnt:</w:t>
      </w:r>
    </w:p>
    <w:p>
      <w:pPr>
        <w:ind w:left="420"/>
      </w:pPr>
      <w:r>
        <w:t xml:space="preserve">1. im Fall von § 5 Absatz 3 Nummer 1 mit der Eintragung in die Referenzliste,</w:t>
      </w:r>
    </w:p>
    <w:p>
      <w:pPr>
        <w:ind w:left="420"/>
      </w:pPr>
      <w:r>
        <w:t xml:space="preserve">2. im Fall von § 5 Absatz 3 Nummer 3 mit der Speicherung der Aktualisierung der Sperrliste,</w:t>
      </w:r>
    </w:p>
    <w:p>
      <w:pPr>
        <w:ind w:left="420"/>
      </w:pPr>
      <w:r>
        <w:t xml:space="preserve">3. im Fall von § 5 Absatz 3 Nummer 4 mit der Speicherung des Sperrschlüssels beim Sperrlistenbetreiber oder mit der Entsperrung durch die Personalausweisbehörde,</w:t>
      </w:r>
    </w:p>
    <w:p>
      <w:pPr>
        <w:ind w:left="420"/>
      </w:pPr>
      <w:r>
        <w:t xml:space="preserve">4. im Fall von § 5 Absatz 4 Satz 4 mit der Eintragung der Sperrsummen oder des jeweils letzten Tages der Gültigkeitsdauer von hergestellten Personalausweisen in dieser Liste.</w:t>
      </w:r>
    </w:p>
    <w:p>
      <w:r>
        <w:rPr>
          <w:color w:val="555555"/>
          <w:sz w:val="17"/>
        </w:rPr>
        <w:t xml:space="preserve">Zitiervorschlag: § 37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