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36b PAuswV — Entsprechende Anwendung der Vorschriften über den Personalausweis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Soweit dieser Abschnitt keine besonderen Regelungen enthält, gelten für die die eID-Karte betreffenden Angelegenheiten die Vorschriften des Abschnitts 1 sowie der Abschnitte 3 bis 10 entsprechend.</w:t>
      </w:r>
    </w:p>
    <w:p>
      <w:r>
        <w:t xml:space="preserve">(2) An die Stelle von Ausweis und Ausweisinhaber treten die eID-Karte und ihr Inhaber, an die Stelle der Personalausweisbehörden treten die eID-Karte-Behörden, an die Stelle des Personalausweisregisters tritt das eID-Kartenregister.</w:t>
      </w:r>
    </w:p>
    <w:p>
      <w:r>
        <w:rPr>
          <w:color w:val="555555"/>
          <w:sz w:val="17"/>
        </w:rPr>
        <w:t xml:space="preserve">Zitiervorschlag: § 36b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https://recht.nulegal.eu/gesetze/PAuswV/36b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