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PAuswV — Speicherung, Abruf und Verwendung von Daten durch Berechtigungszertifikateanbieter</w:t>
      </w:r>
    </w:p>
    <w:p>
      <w:r>
        <w:rPr>
          <w:color w:val="555555"/>
          <w:sz w:val="18"/>
        </w:rPr>
        <w:t xml:space="preserve">Personalausweisverordnung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Berechtigungszertifikateanbieter sind verpflichtet, sich zur Erzeugung von Listen, die Sperrmerkmale im Sinne des § 2 Absatz 7 des Personalausweisgesetzes enthalten, der jeweils aktuellen Liste der allgemeinen Sperrmerkmale nach § 1 Absatz 4 zu bedienen. Dazu rufen sie regelmäßig die Liste der allgemeinen Sperrmerkmale ab, rechnen die allgemeinen Sperrmerkmale in Sperrmerkmale um und stellen sie für die Diensteanbieter bereit.</w:t>
      </w:r>
    </w:p>
    <w:p>
      <w:r>
        <w:t xml:space="preserve">(2) Berechtigungszertifikateanbieter dürfen die allgemeinen Sperrlisten, die vom Sperrlistenbetreiber bereitgestellt worden sind, nur bis zum Abruf einer neueren Sperrliste speichern und verwenden.</w:t>
      </w:r>
    </w:p>
    <w:p>
      <w:r>
        <w:t xml:space="preserve">(3) Die Daten aus der allgemeinen Sperrliste dürfen nur dazu verwendet werden, dienstespezifische Sperrlisten mit Sperrmerkmalen zu erstellen.</w:t>
      </w:r>
    </w:p>
    <w:p>
      <w:r>
        <w:rPr>
          <w:color w:val="555555"/>
          <w:sz w:val="17"/>
        </w:rPr>
        <w:t xml:space="preserve">Zitiervorschlag: § 35 PAuswV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https://recht.nulegal.eu/gesetze/PAuswV/35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