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PAuswV — Beachtung der Anforderungen des Inhabers der Wurzelzertifikate</w:t>
      </w:r>
    </w:p>
    <w:p>
      <w:r>
        <w:rPr>
          <w:color w:val="555555"/>
          <w:sz w:val="18"/>
        </w:rPr>
        <w:t xml:space="preserve">Personalausweisverordnung</w:t>
      </w:r>
    </w:p>
    <w:p>
      <w:r>
        <w:rPr>
          <w:color w:val="555555"/>
          <w:sz w:val="18"/>
        </w:rPr>
        <w:t xml:space="preserve">Stand: 10.06.2019 (konsolidierte Textfassung, kein amtliches Inkrafttretensdatum)</w:t>
      </w:r>
    </w:p>
    <w:p>
      <w:r>
        <w:t xml:space="preserve">Das Bundesamt für Sicherheit in der Informationstechnik ist Inhaber der Wurzelzertifikate für Berechtigungszertifikate zum elektronischen Identitätsnachweis. Die Zertifikatsrichtlinien des Bundesamtes für Sicherheit in der Informationstechnik für die technischen und organisatorischen Voraussetzungen für die Ausstellung von Berechtigungszertifikaten sind vom Berechtigungszertifikateanbieter einzuhalten. Die jeweils geltende Fassung wird im Bundesanzeiger durch Verweis auf die Internetseite des Bundesamtes für Sicherheit in der Informationstechnik bekannt gemacht.</w:t>
      </w:r>
    </w:p>
    <w:p>
      <w:r>
        <w:rPr>
          <w:color w:val="555555"/>
          <w:sz w:val="17"/>
        </w:rPr>
        <w:t xml:space="preserve">Zitiervorschlag: § 32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