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PAuswV — Antrag auf Erteilung einer Berechtigung für Vor-Ort-Diensteanbieter und sonstige Diensteanbieter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Der Antrag auf Erteilung einer Berechtigung nach § 21 Absatz 2 des Personalausweisgesetzes oder der Antrag auf Erteilung einer Vor-Ort-Berechtigung nach § 21a des Personalausweisgesetzes muss folgende Angaben enthalten:</w:t>
      </w:r>
    </w:p>
    <w:p>
      <w:pPr>
        <w:ind w:left="420"/>
      </w:pPr>
      <w:r>
        <w:t xml:space="preserve">1. Angaben, die zur Feststellung der Identität von juristischen und natürlichen Personen notwendig sind,</w:t>
      </w:r>
    </w:p>
    <w:p>
      <w:pPr>
        <w:ind w:left="780"/>
      </w:pPr>
      <w:r>
        <w:t xml:space="preserve">a) bei natürlichen Personen insbesondere der Familienname, die Vornamen, der Tag und der Ort der Geburt sowie die Anschrift der Hauptwohnung,</w:t>
      </w:r>
    </w:p>
    <w:p>
      <w:pPr>
        <w:ind w:left="780"/>
      </w:pPr>
      <w:r>
        <w:t xml:space="preserve">b) bei juristischen Personen insbesondere der Name, die Anschrift des Sitzes, die Rechtsform und die Bevollmächtigten; außerdem ist in diesem Fall eine Kopie des Handelsregisterauszugs oder der Errichtungsurkunde beizufügen;</w:t>
      </w:r>
    </w:p>
    <w:p>
      <w:pPr>
        <w:ind w:left="420"/>
      </w:pPr>
      <w:r>
        <w:t xml:space="preserve">2. Kontaktdaten, insbesondere die telefonische oder elektronische Erreichbarkeit;</w:t>
      </w:r>
    </w:p>
    <w:p>
      <w:pPr>
        <w:ind w:left="420"/>
      </w:pPr>
      <w:r>
        <w:t xml:space="preserve">3. Angaben zu antragstellenden Personen mit Wohnung oder Sitz außerhalb Deutschlands, soweit zur eindeutigen länderspezifischen Identifizierung erforderlich, einschließlich einer ladungsfähigen Anschrift; soweit eine Niederlassung in Deutschland besteht, sind auch deren Angaben nach den Nummern 1 und 2 aufzunehmen;</w:t>
      </w:r>
    </w:p>
    <w:p>
      <w:pPr>
        <w:ind w:left="420"/>
      </w:pPr>
      <w:r>
        <w:t xml:space="preserve">4. eine kurze Beschreibung des Diensteanbieters und seiner Tätigkeitsfelder sowie die Angabe der Unternehmenswebsite, soweit vorhanden;</w:t>
      </w:r>
    </w:p>
    <w:p>
      <w:pPr>
        <w:ind w:left="420"/>
      </w:pPr>
      <w:r>
        <w:t xml:space="preserve">5. eine kurze Beschreibung des dem Antrag zu Grunde liegenden Interesses an einer Berechtigung; darzulegen ist, welche Funktion</w:t>
      </w:r>
    </w:p>
    <w:p>
      <w:pPr>
        <w:ind w:left="780"/>
      </w:pPr>
      <w:r>
        <w:t xml:space="preserve">a) im Falle eines Antrages auf Erteilung einer Berechtigung nach § 21 Absatz 2 des Personalausweisgesetzes der elektronische Identitätsnachweis oder</w:t>
      </w:r>
    </w:p>
    <w:p>
      <w:pPr>
        <w:ind w:left="780"/>
      </w:pPr>
      <w:r>
        <w:t xml:space="preserve">b) im Falle eines Antrages auf Erteilung einer Vor-Ort-Berechtigung nach § 21a des Personalausweisgesetzes das Vor-Ort-Auslesen</w:t>
      </w:r>
    </w:p>
    <w:p>
      <w:pPr>
        <w:ind w:left="420"/>
      </w:pPr>
      <w:r>
        <w:t xml:space="preserve">im Rahmen der behördlichen Aufgabenwahrnehmung oder der vorgesehenen Geschäftszwecke der antragstellenden Person erfüllen soll;</w:t>
      </w:r>
    </w:p>
    <w:p>
      <w:pPr>
        <w:ind w:left="420"/>
      </w:pPr>
      <w:r>
        <w:t xml:space="preserve">6. die Angabe der Datenkategorien nach § 18 Absatz 3 des Personalausweisgesetzes, auf die die antragstellende Person zugreifen möchte;</w:t>
      </w:r>
    </w:p>
    <w:p>
      <w:pPr>
        <w:ind w:left="420"/>
      </w:pPr>
      <w:r>
        <w:t xml:space="preserve">7. die Erklärung, dass der Diensteanbieter den betrieblichen Datenschutz einhält;</w:t>
      </w:r>
    </w:p>
    <w:p>
      <w:pPr>
        <w:ind w:left="420"/>
      </w:pPr>
      <w:r>
        <w:t xml:space="preserve">8. die Angabe, ob die antragstellende Person sich zur Durchführung des elektronischen Identitätsnachweises eines Auftragnehmers nach den Artikeln 28 bis 31 der Verordnung (EU) 2016/679 bedienen wird und in diesem Fall die Angaben nach Nummer 1 für diesen Auftragnehmer; wobei eine zum Zeitpunkt des Antrags noch nicht bekannte Angabe unverzüglich nach ihrem Bekanntwerden nachzuliefern ist.</w:t>
      </w:r>
    </w:p>
    <w:p>
      <w:r>
        <w:t xml:space="preserve">(2) Der Antrag bedarf der Schriftform.</w:t>
      </w:r>
    </w:p>
    <w:p>
      <w:r>
        <w:rPr>
          <w:color w:val="555555"/>
          <w:sz w:val="17"/>
        </w:rPr>
        <w:t xml:space="preserve">Zitiervorschlag: § 28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