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PAuswV — Entsperrung des elektronischen Identitätsnachweises mit dem Personalausweis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Der Ausweisinhaber kann die Entsperrung eines gesperrten elektronischen Identitätsnachweises bei der ausstellenden oder zuständigen Personalausweisbehörde beantragen. Die Entsperrung erfolgt nach der Identifizierung des Ausweisinhabers. Der Ausweisinhaber muss hierzu persönlich erscheinen.</w:t>
      </w:r>
    </w:p>
    <w:p>
      <w:r>
        <w:t xml:space="preserve">(2) Handelt die zuständige Personalausweisbehörde, informiert sie die ausstellende Personalausweisbehörde über den Entsperrantrag. Diese übermittelt dem Sperrlistenbetreiber die Sperrsumme und löscht im Personalausweisregister die Eintragung des Personalausweises in die Sperrliste.</w:t>
      </w:r>
    </w:p>
    <w:p>
      <w:r>
        <w:t xml:space="preserve">(3) Die Löschung des allgemeinen Sperrmerkmals aus der Sperrliste ist der ausstellenden Personalausweisbehörde vom Sperrlistenbetreiber zu bestätigen. Die ausstellende Personalausweisbehörde leitet die Bestätigung an den Ausweisinhaber weiter.</w:t>
      </w:r>
    </w:p>
    <w:p>
      <w:r>
        <w:rPr>
          <w:color w:val="555555"/>
          <w:sz w:val="17"/>
        </w:rPr>
        <w:t xml:space="preserve">Zitiervorschlag: § 26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