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PAuswV — Sperrung des elektronischen Identitätsnachweises mit einem mobilen Endgerät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Kommt ein mobiles Endgerät, auf welches Daten nach § 10a Absatz 1 Satz 1 des Personalausweisgesetzes übermittelt wurden, abhanden, hat der Ausweisinhaber den elektronischen Identitätsnachweis über den Sperrnotruf unverzüglich sperren zu lassen. Der Sperrnotruf hat den Ausweisinhaber vor der Sperrung zu identifizieren.</w:t>
      </w:r>
    </w:p>
    <w:p>
      <w:r>
        <w:t xml:space="preserve">(2) Der Sperrnotruf erzeugt unverzüglich die Sperrsumme und übermittelt sie unverzüglich dem Sperrlistenbetreiber.</w:t>
      </w:r>
    </w:p>
    <w:p>
      <w:r>
        <w:t xml:space="preserve">(3) Der Sperrlistenbetreiber hat den Eintrag des allgemeinen Sperrmerkmals in die Sperrliste unverzüglich gegenüber dem Sperrnotruf zu bestätigen.</w:t>
      </w:r>
    </w:p>
    <w:p>
      <w:r>
        <w:rPr>
          <w:color w:val="555555"/>
          <w:sz w:val="17"/>
        </w:rPr>
        <w:t xml:space="preserve">Zitiervorschlag: § 25a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