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PAuswV — Referenzliste; allgemeine Sperrliste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Sperrlistenbetreiber führt eine Referenzliste der Sperrsummen, der Sperrschlüssel und des Datums der Übermittlung dieser Daten vom Ausweishersteller. Die Referenzliste enthält die in Satz 1 genannten Daten aller Personalausweise. Sie darf ausschließlich für die Ermittlung des Sperrschlüssels zu einer übermittelten Sperrsumme verwendet werden.</w:t>
      </w:r>
    </w:p>
    <w:p>
      <w:r>
        <w:t xml:space="preserve">(2) Der Sperrlistenbetreiber führt eine allgemeine Sperrliste. Sie enthält allgemeine Sperrmerkmale gesperrter elektronischer Identitätsnachweise und wird Berechtigungszertifikateanbietern auf Anfrage zur Umrechnung in dienstespezifische Sperrlisten bereitgestellt.</w:t>
      </w:r>
    </w:p>
    <w:p>
      <w:r>
        <w:rPr>
          <w:color w:val="555555"/>
          <w:sz w:val="17"/>
        </w:rPr>
        <w:t xml:space="preserve">Zitiervorschlag: § 24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