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23a PAuswV — Neusetzen und Änderung der Geheimnummer für den elektronischen Identitätsnachweis mit einem mobilen Endgerät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Kennt der Ausweisinhaber die bei der Einrichtung des elektronischen Identitätsnachweises mit einem mobilen Endgerät vergebene Geheimnummer nicht, kann ein neuer Antrag nach § 10a Absatz 1 Satz 1 des Personalausweisgesetzes gestellt werden.</w:t>
      </w:r>
    </w:p>
    <w:p>
      <w:r>
        <w:t xml:space="preserve">(2) Der Ausweisinhaber kann die Geheimnummer durch Eingabe der bisherigen Geheimnummer und zweimalige Eingabe der neuen Geheimnummer ändern.</w:t>
      </w:r>
    </w:p>
    <w:p>
      <w:r>
        <w:rPr>
          <w:color w:val="555555"/>
          <w:sz w:val="17"/>
        </w:rPr>
        <w:t xml:space="preserve">Zitiervorschlag: § 23a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https://recht.nulegal.eu/gesetze/PAuswV/23a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