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PAuswV — Einrichtung</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Der Ausweisinhaber leitet die Einrichtung eines elektronischen Identitätsnachweises mit einem mobilen Endgerät durch Verwendung eines elektronischen Formulars ein.</w:t>
      </w:r>
    </w:p>
    <w:p>
      <w:r>
        <w:t xml:space="preserve">(2) Der Ausweishersteller prüft, ob das mobile Endgerät über einen zugelassenen Chip verfügt, welcher dem Stand der Technik entspricht.</w:t>
      </w:r>
    </w:p>
    <w:p>
      <w:r>
        <w:t xml:space="preserve">(3) Der Ausweisinhaber führt gegenüber dem Ausweishersteller einen elektronischen Identitätsnachweis nach § 18 Absatz 2 Satz 1 Nummer 1 des Personalausweisgesetzes durch.</w:t>
      </w:r>
    </w:p>
    <w:p>
      <w:r>
        <w:t xml:space="preserve">(4) Der Ausweishersteller übermittelt in einem sicheren Verfahren, welches dem Stand der Technik entspricht, die Daten nach § 5 Absatz 5a des Personalausweisgesetzes auf den Chip des mobilen Endgeräts. Hierzu verwendet er ein hoheitliches Berechtigungszertifikat.</w:t>
      </w:r>
    </w:p>
    <w:p>
      <w:r>
        <w:t xml:space="preserve">(5) Der Ausweisinhaber vergibt eine selbstgewählte, sechsstellige Geheimnummer durch zweimalige, übereinstimmende Eingabe.</w:t>
      </w:r>
    </w:p>
    <w:p>
      <w:r>
        <w:t xml:space="preserve">(6) Der Ausweishersteller</w:t>
      </w:r>
    </w:p>
    <w:p>
      <w:pPr>
        <w:ind w:left="420"/>
      </w:pPr>
      <w:r>
        <w:t xml:space="preserve">1. erzeugt das Sperrkennwort, welches dem Ausweisinhaber über die verwendete Software angezeigt wird,</w:t>
      </w:r>
    </w:p>
    <w:p>
      <w:pPr>
        <w:ind w:left="420"/>
      </w:pPr>
      <w:r>
        <w:t xml:space="preserve">2. übermittelt den letzten Tag der Gültigkeitsdauer, die Sperrsumme und den Sperrschlüssel an den Sperrlistenbetreiber,</w:t>
      </w:r>
    </w:p>
    <w:p>
      <w:pPr>
        <w:ind w:left="420"/>
      </w:pPr>
      <w:r>
        <w:t xml:space="preserve">3. speichert das dienste- und kartenspezifische Kennzeichen jeweils für den Chip des Personalausweises und des mobilen Endgeräts sowie das Datum und die Uhrzeit der Einrichtung des elektronischen Identitätsnachweises, den letzten Tag der Gültigkeitsdauer, den Hersteller und die Modellbezeichnung des mobilen Endgeräts, die Sperrsumme und das Sperrkennwort und</w:t>
      </w:r>
    </w:p>
    <w:p>
      <w:pPr>
        <w:ind w:left="420"/>
      </w:pPr>
      <w:r>
        <w:t xml:space="preserve">4. versendet einen einfachen Brief an die im Chip des Personalausweises gespeicherte Anschrift des Ausweisinhabers, in dem das Datum und die Uhrzeit der Einrichtung des elektronischen Identitätsnachweises, der letzte Tag der Gültigkeitsdauer, das Sperrkennwort und der Hersteller und die Modellbezeichnung des mobilen Endgeräts mitgeteilt wird; der Brief enthält ferner Angaben zur Erreichbarkeit des Sperrdienstes.</w:t>
      </w:r>
    </w:p>
    <w:p>
      <w:r>
        <w:t xml:space="preserve">(7) Der Hersteller eines nach Absatz 1 zu verwendenden elektronischen Formulars hat den Ausweisinhaber darauf hinzuweisen, dass das mobile Endgerät hinsichtlich der auf seinem Chip nach Absatz 1 gespeicherten Daten mit besonderer Sorgfalt zu behandeln ist. Der Inhalt des Hinweistextes ist von dem Hersteller einer nach Absatz 1 verwendeten Software mit dem Bundesministerium des Innern abzustimmen.</w:t>
      </w:r>
    </w:p>
    <w:p>
      <w:r>
        <w:rPr>
          <w:color w:val="555555"/>
          <w:sz w:val="17"/>
        </w:rPr>
        <w:t xml:space="preserve">Zitiervorschlag: § 22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