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PAuswV — Nachträgliches Einschalten</w:t>
      </w:r>
    </w:p>
    <w:p>
      <w:r>
        <w:rPr>
          <w:color w:val="555555"/>
          <w:sz w:val="18"/>
        </w:rPr>
        <w:t xml:space="preserve">Personalausweisverordnung</w:t>
      </w:r>
    </w:p>
    <w:p>
      <w:r>
        <w:rPr>
          <w:color w:val="555555"/>
          <w:sz w:val="18"/>
        </w:rPr>
        <w:t xml:space="preserve">Stand: 14.03.2026 (konsolidierte Textfassung, kein amtliches Inkrafttretensdatum)</w:t>
      </w:r>
    </w:p>
    <w:p>
      <w:r>
        <w:t xml:space="preserve">(1) Bevor die ausstellende oder zuständige Personalausweisbehörde einen ausgeschalteten elektronischen Identitätsnachweis nach § 10 Absatz 3 des Personalausweisgesetzes einschaltet, prüft sie die Identität des Ausweisinhabers. Die Personalausweisbehörde initiiert bei jeder nachträglichen Einschaltung die Neusetzung der Geheimnummer durch den Ausweisinhaber und teilt ihm auf Wunsch das Sperrkennwort aus dem Personalausweisregister mit.</w:t>
      </w:r>
    </w:p>
    <w:p>
      <w:r>
        <w:t xml:space="preserve">(2) Der Antrag nach § 10 Absatz 3 des Personalausweisgesetzes kann durch den Ausweisinhaber, der eine Meldeadresse im Inland hat, auch durch Verwendung der Zugangsnummer und eines hierfür vom Ausweishersteller zur Verfügung gestellten elektronischen Formulars gestellt werden. Der Ausweishersteller versendet eine neue, zufällig generierte Geheimnummer in einem Brief an die im Chip gespeicherte Anschrift des Ausweisinhabers. Bei der Übergabe ist die Identität des Ausweisinhabers durch den Zusteller durch Vorlage des gültigen Personalausweises oder eines gültigen Reisepasses zu überprüfen. Nach Erhalt der neuen Geheimnummer meldet sich der Ausweisinhaber erneut beim Ausweishersteller unter Verwendung der Zugangsnummer an. Der Ausweishersteller schaltet die Funktion zum elektronischen Identitätsnachweis ein und schreibt die neue, zufällig generierte Geheimnummer in den Chip. Der Ausweisinhaber ändert die neue, zufällig generierte Geheimnummer in eine selbst gewählte Geheimnummer. Die Maßnahmen in den Sätzen 1, 2 und 5 können vollständig durch automatische Einrichtungen vorgenommen werden, § 20 Absatz 2 Satz 7 bis 9 sowie Absatz 3 gilt entsprechend.</w:t>
      </w:r>
    </w:p>
    <w:p>
      <w:r>
        <w:t xml:space="preserve">(3) Für das nachträgliche Einschalten des elektronischen Identitätsnachweises nach Absatz 1 Satz 2 sind zertifizierte Geräte mit hoheitlichem Berechtigungszertifikat zu verwenden. Für das Ändern der Daten nach Absatz 2 Satz 2 sowie für das Einschalten nach Absatz 2 Satz 5 verwendet der Ausweishersteller ein hoheitliches Berechtigungszertifikat.</w:t>
      </w:r>
    </w:p>
    <w:p>
      <w:r>
        <w:rPr>
          <w:color w:val="555555"/>
          <w:sz w:val="17"/>
        </w:rPr>
        <w:t xml:space="preserve">Zitiervorschlag: § 21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