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18b PAuswV — Aufkleber mit Brailleschrift</w:t>
      </w:r>
    </w:p>
    <w:p>
      <w:r>
        <w:rPr>
          <w:color w:val="555555"/>
          <w:sz w:val="18"/>
        </w:rPr>
        <w:t xml:space="preserve">Personalausweisverordnung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Auf Antrag des Ausweisinhabers wird durch die Personalausweisbehörde entweder bei der Ausgabe des Personalausweises oder zu einem späteren Zeitpunkt ein Aufkleber mit Brailleschrift nach Anlage 1c auf dem Personalausweis angebracht.</w:t>
      </w:r>
    </w:p>
    <w:p>
      <w:r>
        <w:rPr>
          <w:color w:val="555555"/>
          <w:sz w:val="17"/>
        </w:rPr>
        <w:t xml:space="preserve">Zitiervorschlag: § 18b PAuswV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https://recht.nulegal.eu/gesetze/PAuswV/18b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