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PAuswGebV</w:t>
      </w:r>
    </w:p>
    <w:p>
      <w:r>
        <w:rPr>
          <w:color w:val="555555"/>
          <w:sz w:val="18"/>
        </w:rPr>
        <w:t xml:space="preserve">Personalausweis- und eID-Karten-Gebührenverordnung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34 Nummer 8 des Personalausweisgesetzes vom 18. Juni 2009 (BGBl. I S. 1346) in Verbindung mit dem 2. Abschnitt des Verwaltungskostengesetzes vom 23. Juni 1970 (BGBl. I S. 821) verordnet das Bundesministerium des Innern im Benehmen mit dem Auswärtigen Amt:</w:t>
      </w:r>
    </w:p>
    <w:p>
      <w:r>
        <w:rPr>
          <w:color w:val="555555"/>
          <w:sz w:val="17"/>
        </w:rPr>
        <w:t xml:space="preserve">Zitiervorschlag: Eingangsformel PAuswGebV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