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PAuswGebV — Evaluierung</w:t>
      </w:r>
    </w:p>
    <w:p>
      <w:r>
        <w:rPr>
          <w:color w:val="555555"/>
          <w:sz w:val="18"/>
        </w:rPr>
        <w:t xml:space="preserve">Personalausweis- und eID-Karten-Gebührenverordnung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Absatz 1 Nummer 2 ist zwei Jahre nach Inkrafttreten hinsichtlich des Verwaltungskostenanteils der Personalausweisbehörden unter Einbeziehung des Deutschen Städte- und Gemeindebundes sowie des Deutschen Städtetages zu evaluieren.</w:t>
      </w:r>
    </w:p>
    <w:p>
      <w:r>
        <w:rPr>
          <w:color w:val="555555"/>
          <w:sz w:val="17"/>
        </w:rPr>
        <w:t xml:space="preserve">Zitiervorschlag: § 3a PAuswGebV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https://recht.nulegal.eu/gesetze/PAuswGebV/3a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