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PAuswGebV — Auslagen für Ausweise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Außer Kraft: § 1a ist seit 01.11.2024 nicht mehr im PAuswGebV enthalten. Angezeigt wird die letzte bekannte Fassung, Stand 01.01.2021.</w:t>
      </w:r>
    </w:p>
    <w:p>
      <w:r>
        <w:t xml:space="preserve">Die Personalausweisbehörden lassen sich die Auslagen für den Versand des Briefes in das Ausland nach § 17 Absatz 4 Satz 2 der Personalausweisverordnung erstatten.</w:t>
      </w:r>
    </w:p>
    <w:p>
      <w:r>
        <w:rPr>
          <w:color w:val="555555"/>
          <w:sz w:val="17"/>
        </w:rPr>
        <w:t xml:space="preserve">Zitiervorschlag: § 1a PAuswGebV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