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PAuswG — Örtliche Zuständigkeit; Tätigwerden bei örtlicher Unzuständigkeit</w:t>
      </w:r>
    </w:p>
    <w:p>
      <w:r>
        <w:rPr>
          <w:color w:val="555555"/>
          <w:sz w:val="18"/>
        </w:rPr>
        <w:t xml:space="preserve">Personalausweisgesetz</w:t>
      </w:r>
    </w:p>
    <w:p>
      <w:r>
        <w:rPr>
          <w:color w:val="555555"/>
          <w:sz w:val="18"/>
        </w:rPr>
        <w:t xml:space="preserve">Stand: 01.11.2023 (konsolidierte Textfassung, kein amtliches Inkrafttretensdatum)</w:t>
      </w:r>
    </w:p>
    <w:p>
      <w:r>
        <w:t xml:space="preserve">(1) In Deutschland ist die Personalausweisbehörde zuständig, in deren Bezirk die antragstellende Person oder der Ausweisinhaber für seine Wohnung, bei mehreren Wohnungen für seine Hauptwohnung, meldepflichtig ist. Hat die antragstellende Person keine Wohnung, so ist die Personalausweisbehörde zuständig, in deren Bezirk sie sich vorübergehend aufhält.</w:t>
      </w:r>
    </w:p>
    <w:p>
      <w:r>
        <w:t xml:space="preserve">(1a) Für das Führen des Personalausweisregisters nach § 23 ist die Personalausweisbehörde zuständig, welche den Ausweis ausgestellt hat.</w:t>
      </w:r>
    </w:p>
    <w:p>
      <w:r>
        <w:t xml:space="preserve">(2) Im Ausland sind die vom Auswärtigen Amt bestimmten Auslandsvertretungen zuständig, in deren Bezirk sich die antragstellende Person oder der Ausweisinhaber gewöhnlich aufhält. Der Ausweisinhaber hat den Nachweis über den gewöhnlichen Aufenthaltsort zu erbringen.</w:t>
      </w:r>
    </w:p>
    <w:p>
      <w:r>
        <w:t xml:space="preserve">(3) Für Binnenschiffer, die keine Wohnung in Deutschland haben, ist die Personalausweisbehörde am Heimatort des Binnenschiffes, für Seeleute, die keine Wohnung in Deutschland haben, die Personalausweisbehörde am Sitz des Reeders zuständig.</w:t>
      </w:r>
    </w:p>
    <w:p>
      <w:r>
        <w:t xml:space="preserve">(4) Der Antrag auf Ausstellung eines Ausweises muss auch von einer örtlich nicht zuständigen Personalausweisbehörde bearbeitet werden, wenn ein wichtiger Grund dargelegt wird. Ein Ausweis darf nur mit Ermächtigung der örtlich zuständigen Personalausweisbehörde ausgestellt werden.</w:t>
      </w:r>
    </w:p>
    <w:p>
      <w:r>
        <w:rPr>
          <w:color w:val="555555"/>
          <w:sz w:val="17"/>
        </w:rPr>
        <w:t xml:space="preserve">Zitiervorschlag: § 8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