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PAuswG — Regelungsbefugnisse der Länder</w:t>
      </w:r>
    </w:p>
    <w:p>
      <w:r>
        <w:rPr>
          <w:color w:val="555555"/>
          <w:sz w:val="18"/>
        </w:rPr>
        <w:t xml:space="preserve">Personalausweisgesetz</w:t>
      </w:r>
    </w:p>
    <w:p>
      <w:r>
        <w:rPr>
          <w:color w:val="555555"/>
          <w:sz w:val="18"/>
        </w:rPr>
        <w:t xml:space="preserve">Stand: 01.09.2021 (konsolidierte Textfassung, kein amtliches Inkrafttretensdatum)</w:t>
      </w:r>
    </w:p>
    <w:p>
      <w:r>
        <w:t xml:space="preserve">Durch Landesrecht können zentrale Personalausweisregisterdatenbestände zur Speicherung des Lichtbilds und der Unterschrift für die Durchführung eines automatisierten Abrufs des Lichtbilds nach § 25 Absatz 2 Satz 1 und 4 sowie eines automatisierten Abrufs des Lichtbilds und der Unterschrift nach § 25 Absatz 2 Satz 5 eingerichtet werden. In diesem Fall gelten § 23 Absatz 4, § 25 Absatz 2 Satz 5 bis 8 und § 26 Absatz 4 entsprechend. Macht ein Land von der Regelungsbefugnis Gebrauch, hat es technisch sicherzustellen, dass die Lichtbilder und Unterschriften vor unbefugtem Zugriff geschützt sind. Die Lichtbilder und Unterschriften dürfen nur so gespeichert werden, dass keine Verknüpfung mit anderen als für den automatisierten Abruf benötigten Daten ermöglicht wird.</w:t>
      </w:r>
    </w:p>
    <w:p>
      <w:r>
        <w:rPr>
          <w:color w:val="555555"/>
          <w:sz w:val="17"/>
        </w:rPr>
        <w:t xml:space="preserve">Zitiervorschlag: § 34a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