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PAuswG — Bußgeldbehörden</w:t>
      </w:r>
    </w:p>
    <w:p>
      <w:r>
        <w:rPr>
          <w:color w:val="555555"/>
          <w:sz w:val="18"/>
        </w:rPr>
        <w:t xml:space="preserve">Personalausweisgesetz</w:t>
      </w:r>
    </w:p>
    <w:p>
      <w:r>
        <w:rPr>
          <w:color w:val="555555"/>
          <w:sz w:val="18"/>
        </w:rPr>
        <w:t xml:space="preserve">Stand: 09.08.2019 (konsolidierte Textfassung, kein amtliches Inkrafttretensdatum)</w:t>
      </w:r>
    </w:p>
    <w:p>
      <w:r>
        <w:t xml:space="preserve">Verwaltungsbehörden im Sinne des § 36 Abs. 1 Nr. 1 des Gesetzes über Ordnungswidrigkeiten sind, soweit dieses Gesetz von Bundesbehörden ausgeführt wird,</w:t>
      </w:r>
    </w:p>
    <w:p>
      <w:pPr>
        <w:ind w:left="420"/>
      </w:pPr>
      <w:r>
        <w:t xml:space="preserve">1. in den Fällen des § 32 Absatz 1 Nummer 2 und 5 die Bundespolizeibehörden jeweils für ihren Geschäftsbereich,</w:t>
      </w:r>
    </w:p>
    <w:p>
      <w:pPr>
        <w:ind w:left="420"/>
      </w:pPr>
      <w:r>
        <w:t xml:space="preserve">2. in den Fällen des § 32 Abs. 1 Nr. 4 das Auswärtige Amt für Ausweisangelegenheiten im Ausland,</w:t>
      </w:r>
    </w:p>
    <w:p>
      <w:pPr>
        <w:ind w:left="420"/>
      </w:pPr>
      <w:r>
        <w:t xml:space="preserve">3. in den Fällen des § 32 Abs. 2 Nr. 1 bis 4 die Vergabestelle für Berechtigungszertifikate nach § 7 Abs. 4 Satz 1.</w:t>
      </w:r>
    </w:p>
    <w:p>
      <w:r>
        <w:rPr>
          <w:color w:val="555555"/>
          <w:sz w:val="17"/>
        </w:rPr>
        <w:t xml:space="preserve">Zitiervorschlag: § 33 PAuswG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