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PAuswG — Bußgeldvorschriften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1 Abs. 1 Satz 1, auch in Verbindung mit Abs. 2 Satz 1, einen Ausweis nicht besitzt,</w:t>
      </w:r>
    </w:p>
    <w:p>
      <w:pPr>
        <w:ind w:left="420"/>
      </w:pPr>
      <w:r>
        <w:t xml:space="preserve">2. entgegen § 1 Abs. 1 Satz 2, auch in Verbindung mit Abs. 2 Satz 1, einen Ausweis nicht oder nicht rechtzeitig vorlegt oder einen Abgleich mit dem Lichtbild nicht oder nicht rechtzeitig ermöglicht,</w:t>
      </w:r>
    </w:p>
    <w:p>
      <w:pPr>
        <w:ind w:left="420"/>
      </w:pPr>
      <w:r>
        <w:t xml:space="preserve">3. entgegen § 9 Abs. 2 Satz 2 einen dort genannten Antrag nicht oder nicht rechtzeitig stellt,</w:t>
      </w:r>
    </w:p>
    <w:p>
      <w:pPr>
        <w:ind w:left="420"/>
      </w:pPr>
      <w:r>
        <w:t xml:space="preserve">4. entgegen § 9 Abs. 3 Satz 1, auch in Verbindung mit Absatz 6 Satz 2, eine Angabe nicht richtig macht,</w:t>
      </w:r>
    </w:p>
    <w:p>
      <w:pPr>
        <w:ind w:left="420"/>
      </w:pPr>
      <w:r>
        <w:t xml:space="preserve">5. entgegen § 18 Abs. 2 Satz 4 einen elektronischen Identitätsnachweis nutzt,</w:t>
      </w:r>
    </w:p>
    <w:p>
      <w:pPr>
        <w:ind w:left="420"/>
      </w:pPr>
      <w:r>
        <w:t xml:space="preserve">6. entgegen § 20 Absatz 2 Satz 2 eine Kopie weitergibt oder</w:t>
      </w:r>
    </w:p>
    <w:p>
      <w:pPr>
        <w:ind w:left="420"/>
      </w:pPr>
      <w:r>
        <w:t xml:space="preserve">7. entgegen § 27 Absatz 1 Nummer 3 oder 4 eine Anzeige nicht oder nicht rechtzeitig erstattet.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ohne Berechtigung nach § 21 Absatz 1 Satz 1 Daten anfragt,</w:t>
      </w:r>
    </w:p>
    <w:p>
      <w:pPr>
        <w:ind w:left="420"/>
      </w:pPr>
      <w:r>
        <w:t xml:space="preserve">2. entgegen § 21 Absatz 2 Satz 2, auch in Verbindung mit § 21a Satz 2 oder § 21b Absatz 2 Satz 2, eine Angabe nicht richtig macht,</w:t>
      </w:r>
    </w:p>
    <w:p>
      <w:pPr>
        <w:ind w:left="420"/>
      </w:pPr>
      <w:r>
        <w:t xml:space="preserve">3. entgegen § 21 Absatz 3 Satz 3 oder Absatz 5 Satz 1, jeweils auch in Verbindung mit § 21a Satz 2 oder § 21b Absatz 2 Satz 2, eine Berechtigung oder ein Berechtigungszertifikat verwendet,</w:t>
      </w:r>
    </w:p>
    <w:p>
      <w:pPr>
        <w:ind w:left="420"/>
      </w:pPr>
      <w:r>
        <w:t xml:space="preserve">4. entgegen § 21 Absatz 6, auch in Verbindung mit § 21a Satz 2 oder § 21b Absatz 2 Satz 2, eine Mitteilung nicht, nicht richtig, nicht vollständig oder nicht rechtzeitig macht oder</w:t>
      </w:r>
    </w:p>
    <w:p>
      <w:pPr>
        <w:ind w:left="420"/>
      </w:pPr>
      <w:r>
        <w:t xml:space="preserve">5. ohne Berechtigung nach § 21b Absatz 1 eine dort genannte Funktion nutzt.</w:t>
      </w:r>
    </w:p>
    <w:p>
      <w:r>
        <w:t xml:space="preserve">(3) Die Ordnungswidrigkeit kann in den Fällen des Absatzes 1 Nummer 5 sowie des Absatzes 2 Nummer 1, 2, 3 und 5 mit einer Geldbuße bis zu dreißigtausend Euro und in den übrigen Fällen mit einer Geldbuße bis zu dreitausend Euro geahndet werden.</w:t>
      </w:r>
    </w:p>
    <w:p>
      <w:r>
        <w:rPr>
          <w:color w:val="555555"/>
          <w:sz w:val="17"/>
        </w:rPr>
        <w:t xml:space="preserve">Zitiervorschlag: § 32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