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PAuswG — Gebühren und Auslagen; Verordnungsermächtigung</w:t>
      </w:r>
    </w:p>
    <w:p>
      <w:r>
        <w:rPr>
          <w:color w:val="555555"/>
          <w:sz w:val="18"/>
        </w:rPr>
        <w:t xml:space="preserve">Personalausweisgesetz</w:t>
      </w:r>
    </w:p>
    <w:p>
      <w:r>
        <w:rPr>
          <w:color w:val="555555"/>
          <w:sz w:val="18"/>
        </w:rPr>
        <w:t xml:space="preserve">Stand: 14.10.2023 (konsolidierte Textfassung, kein amtliches Inkrafttretensdatum)</w:t>
      </w:r>
    </w:p>
    <w:p>
      <w:r>
        <w:t xml:space="preserve">(1) Für individuell zurechenbare öffentliche Leistungen nach diesem Gesetz und den auf diesem Gesetz beruhenden Rechtsverordnungen erheben die Personalausweisbehörden Gebühren und Auslagen nach den Absätzen 2 und 3.</w:t>
      </w:r>
    </w:p>
    <w:p>
      <w:r>
        <w:t xml:space="preserve">(2) Die Gebühr soll die mit der individuell zurechenbaren öffentlichen Leistung verbundenen Kosten aller an der Leistung Beteiligten decken. In die Gebühr sind die mit der Leistung regelmäßig verbundenen Auslagen einzubeziehen. Zur Ermittlung der Gebühr sind die Kosten, die nach betriebswirtschaftlichen Grundsätzen als Einzel- und Gemeinkosten zurechenbar und ansatzfähig sind, insbesondere Personal- und Sachkosten sowie kalkulatorische Kosten, zu Grunde zu legen. Zu den Gemeinkosten zählen auch die Kosten der Rechts- und Fachaufsicht. Grundlage der Gebührenermittlung nach den Sätzen 1 bis 4 sind Kosten, die in der Gesamtheit der Länder mit der jeweiligen Leistung verbundenen sind. § 3 Absatz 1 und 2, die §§ 5 bis 7, 9 Absatz 3 bis 6 und die §§ 10 bis 12 des Bundesgebührengesetzes gelten entsprechend.</w:t>
      </w:r>
    </w:p>
    <w:p>
      <w:r>
        <w:t xml:space="preserve">(3) Das Bundesministerium des Innern und für Heimat wird ermächtigt, für den Bereich der Landesverwaltung durch Rechtsverordnung mit Zustimmung des Bundesrates die gebührenpflichtigen Tatbestände, die Gebührenhöhe und die Auslagenerstattung näher zu bestimmen.</w:t>
      </w:r>
    </w:p>
    <w:p>
      <w:r>
        <w:t xml:space="preserve">(4) Durch Besondere Gebührenverordnung des Auswärtigen Amts nach § 22 Absatz 4 des Bundesgebührengesetzes kann bestimmt werden, dass von den Auslandsvertretungen der Bundesrepublik Deutschland für individuell zurechenbare öffentliche Leistungen nach diesem Gesetz und den auf diesem Gesetz beruhenden Rechtsverordnungen zum Ausgleich von Kaufkraftunterschieden ein Zuschlag erhoben wird. Der Zuschlag kann bis zu 300 Prozent der Gebühren betragen.</w:t>
      </w:r>
    </w:p>
    <w:p>
      <w:r>
        <w:rPr>
          <w:color w:val="555555"/>
          <w:sz w:val="17"/>
        </w:rPr>
        <w:t xml:space="preserve">Zitiervorschlag: § 31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