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PAuswG — Ungültigkeit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Ausweis ist ungültig, wenn</w:t>
      </w:r>
    </w:p>
    <w:p>
      <w:pPr>
        <w:ind w:left="420"/>
      </w:pPr>
      <w:r>
        <w:t xml:space="preserve">1. er eine einwandfreie Feststellung der Identität des Ausweisinhabers nicht zulässt oder verändert worden ist,</w:t>
      </w:r>
    </w:p>
    <w:p>
      <w:pPr>
        <w:ind w:left="420"/>
      </w:pPr>
      <w:r>
        <w:t xml:space="preserve">2. Eintragungen nach diesem Gesetz fehlen oder – mit Ausnahme der Angaben über die Anschrift oder Größe – unzutreffend sind,</w:t>
      </w:r>
    </w:p>
    <w:p>
      <w:pPr>
        <w:ind w:left="420"/>
      </w:pPr>
      <w:r>
        <w:t xml:space="preserve">3. die Gültigkeitsdauer abgelaufen ist oder</w:t>
      </w:r>
    </w:p>
    <w:p>
      <w:pPr>
        <w:ind w:left="420"/>
      </w:pPr>
      <w:r>
        <w:t xml:space="preserve">4. gegen den Ausweisinhaber eine Anordnung im Sinne des § 6a Absatz 2 ergangen ist und er den Geltungsbereich dieses Gesetzes verlassen hat.</w:t>
      </w:r>
    </w:p>
    <w:p>
      <w:r>
        <w:t xml:space="preserve">(2) Eine Personalausweisbehörde hat einen Ausweis für ungültig zu erklären, wenn die Voraussetzungen für seine Erteilung nicht vorgelegen haben oder nachträglich weggefallen sind.</w:t>
      </w:r>
    </w:p>
    <w:p>
      <w:r>
        <w:t xml:space="preserve">(3) Störungen der Funktionsfähigkeit des elektronischen Speicher- und Verarbeitungsmediums berühren nicht die Gültigkeit des Personalausweises.</w:t>
      </w:r>
    </w:p>
    <w:p>
      <w:r>
        <w:rPr>
          <w:color w:val="555555"/>
          <w:sz w:val="17"/>
        </w:rPr>
        <w:t xml:space="preserve">Zitiervorschlag: § 28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