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PAuswG — Sonstige Speicherung personenbezogener Daten</w:t>
      </w:r>
    </w:p>
    <w:p>
      <w:r>
        <w:rPr>
          <w:color w:val="555555"/>
          <w:sz w:val="18"/>
        </w:rPr>
        <w:t xml:space="preserve">Personalausweisgesetz</w:t>
      </w:r>
    </w:p>
    <w:p>
      <w:r>
        <w:rPr>
          <w:color w:val="555555"/>
          <w:sz w:val="18"/>
        </w:rPr>
        <w:t xml:space="preserve">Stand: 01.09.2021 (konsolidierte Textfassung, kein amtliches Inkrafttretensdatum)</w:t>
      </w:r>
    </w:p>
    <w:p>
      <w:r>
        <w:t xml:space="preserve">(1) Beantragung, Ausstellung und Aushändigung von Ausweisen dürfen nicht zum Anlass genommen werden, die dafür erforderlichen Angaben und biometrischen Merkmale außer bei den ausstellenden Personalausweisbehörden nach § 7 Abs. 1 und 2 nach den Vorgaben der §§ 23 bis 25 zu speichern. Entsprechendes gilt für die zur Ausstellung des Ausweises erforderlichen Antragsunterlagen sowie für personenbezogene Datenträger.</w:t>
      </w:r>
    </w:p>
    <w:p>
      <w:r>
        <w:t xml:space="preserve">(2) Die bei der Personalausweisbehörde gespeicherten Fingerabdrücke sind spätestens nach Aushändigung des Personalausweises an die antragstellende Person zu löschen.</w:t>
      </w:r>
    </w:p>
    <w:p>
      <w:r>
        <w:t xml:space="preserve">(3) Eine zentrale, alle Seriennummern umfassende Speicherung darf nur bei dem Ausweishersteller und ausschließlich zum Nachweis des Verbleibs der Ausweise erfolgen. Abgesehen von der Sperrsumme und dem letzten Tag der Gültigkeit der jeweiligen elektronischen Identitätsnachweise sowie den weiteren in § 19 Absatz 2 genannten Daten ist die Speicherung sonstiger personenbezogener Daten der antragstellenden Person bei dem Ausweishersteller unzulässig, soweit sie nicht ausschließlich und vorübergehend der Herstellung des Ausweises dient; die Angaben sind anschließend zu löschen.</w:t>
      </w:r>
    </w:p>
    <w:p>
      <w:r>
        <w:t xml:space="preserve">(4) Eine bundesweite Datenbank der biometrischen Merkmale wird nicht errichtet.</w:t>
      </w:r>
    </w:p>
    <w:p>
      <w:r>
        <w:rPr>
          <w:color w:val="555555"/>
          <w:sz w:val="17"/>
        </w:rPr>
        <w:t xml:space="preserve">Zitiervorschlag: § 26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