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21b PAuswG — Berechtigung für Identifizierungsdiensteanbieter</w:t>
      </w:r>
    </w:p>
    <w:p>
      <w:r>
        <w:rPr>
          <w:color w:val="555555"/>
          <w:sz w:val="18"/>
        </w:rPr>
        <w:t xml:space="preserve">Personalausweisgesetz</w:t>
      </w:r>
    </w:p>
    <w:p>
      <w:r>
        <w:rPr>
          <w:color w:val="555555"/>
          <w:sz w:val="18"/>
        </w:rPr>
        <w:t xml:space="preserve">Stand: 01.09.2021 (konsolidierte Textfassung, kein amtliches Inkrafttretensdatum)</w:t>
      </w:r>
    </w:p>
    <w:p>
      <w:r>
        <w:t xml:space="preserve">(1) Wer als Identifizierungsdiensteanbieter die Funktion des elektronischen Identitätsnachweises nach § 18 Absatz 2 Satz 1 in Verbindung mit § 19 Absatz 6 nutzen möchte, um Identifizierungsdienstleistungen für Dritte zu erbringen, bedarf einer Berechtigung.</w:t>
      </w:r>
    </w:p>
    <w:p>
      <w:r>
        <w:t xml:space="preserve">(2) Die Berechtigung ist zu erteilen, wenn der Identifizierungsdiensteanbieter</w:t>
      </w:r>
    </w:p>
    <w:p>
      <w:pPr>
        <w:ind w:left="420"/>
      </w:pPr>
      <w:r>
        <w:t xml:space="preserve">1. durch technisch-organisatorische Maßnahmen die Einhaltung der in § 19a enthaltenen Vorgaben gewährleistet und</w:t>
      </w:r>
    </w:p>
    <w:p>
      <w:pPr>
        <w:ind w:left="420"/>
      </w:pPr>
      <w:r>
        <w:t xml:space="preserve">2. die weiteren Anforderungen an Datenschutz und Datensicherheit nach der Rechtsverordnung nach § 34 Satz 1 Nummer 7 erfüllt.</w:t>
      </w:r>
    </w:p>
    <w:p>
      <w:r>
        <w:t xml:space="preserve">Im Übrigen gilt § 21 entsprechend.</w:t>
      </w:r>
    </w:p>
    <w:p>
      <w:r>
        <w:rPr>
          <w:color w:val="555555"/>
          <w:sz w:val="17"/>
        </w:rPr>
        <w:t xml:space="preserve">Zitiervorschlag: § 21b PAuswG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https://recht.nulegal.eu/gesetze/PAuswG/21b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