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21a PAuswG — Vor-Ort-Berechtigung für Vor-Ort-Diensteanbieter</w:t>
      </w:r>
    </w:p>
    <w:p>
      <w:r>
        <w:rPr>
          <w:color w:val="555555"/>
          <w:sz w:val="18"/>
        </w:rPr>
        <w:t xml:space="preserve">Personalausweisgesetz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Um Ausweisdaten nach § 18a unter Anwesenden vor Ort auslesen zu dürfen, benötigen Vor-Ort-Diensteanbieter eine Vor-Ort-Berechtigung einschließlich eines Vor-Ort-Zertifikats. § 21 gilt hierfür entsprechend.</w:t>
      </w:r>
    </w:p>
    <w:p>
      <w:r>
        <w:rPr>
          <w:color w:val="555555"/>
          <w:sz w:val="17"/>
        </w:rPr>
        <w:t xml:space="preserve">Zitiervorschlag: § 21a PAuswG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https://recht.nulegal.eu/gesetze/PAuswG/21a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