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20a PAuswG — Hoheitliche Berechtigungszertifikate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Zur Identitätsfeststellung berechtigte Behörden erhalten hoheitliche Berechtigungszertifikate, die ausschließlich für die hoheitliche Tätigkeit der Identitätsfeststellung zu verwenden sind.</w:t>
      </w:r>
    </w:p>
    <w:p>
      <w:r>
        <w:t xml:space="preserve">(2) Personalausweisbehörden und der Ausweishersteller erhalten hoheitliche Berechtigungszertifikate. Umfang und Inhalt der in Satz 1 genannten hoheitlichen Berechtigungszertifikate bestimmen sich durch die auf Grund dieses Gesetzes den Personalausweisbehörden und dem Ausweishersteller jeweils zugewiesenen Zuständigkeiten.</w:t>
      </w:r>
    </w:p>
    <w:p>
      <w:r>
        <w:t xml:space="preserve">(3) Das Bundesamt für Sicherheit in der Informationstechnik erhält hoheitliche Berechtigungszertifikate zur Qualitätssicherung anhand von Testausweisen.</w:t>
      </w:r>
    </w:p>
    <w:p>
      <w:r>
        <w:rPr>
          <w:color w:val="555555"/>
          <w:sz w:val="17"/>
        </w:rPr>
        <w:t xml:space="preserve">Zitiervorschlag: § 20a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https://recht.nulegal.eu/gesetze/PAuswG/20a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