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PAuswG — Verwendung durch öffentliche und nichtöffentliche Stellen</w:t>
      </w:r>
    </w:p>
    <w:p>
      <w:r>
        <w:rPr>
          <w:color w:val="555555"/>
          <w:sz w:val="18"/>
        </w:rPr>
        <w:t xml:space="preserve">Personalausweisgesetz</w:t>
      </w:r>
    </w:p>
    <w:p>
      <w:r>
        <w:rPr>
          <w:color w:val="555555"/>
          <w:sz w:val="18"/>
        </w:rPr>
        <w:t xml:space="preserve">Stand: 23.07.2026 (konsolidierte Textfassung, kein amtliches Inkrafttretensdatum)</w:t>
      </w:r>
    </w:p>
    <w:p>
      <w:r>
        <w:t xml:space="preserve">(1) Der Inhaber kann den Ausweis bei öffentlichen und nichtöffentlichen Stellen als Identitätsnachweis und Legitimationspapier verwenden.</w:t>
      </w:r>
    </w:p>
    <w:p>
      <w:r>
        <w:t xml:space="preserve">(2) Der Ausweis darf nur vom Ausweisinhaber oder von anderen Personen mit Zustimmung des Ausweisinhabers in der Weise abgelichtet werden, dass die Ablichtung eindeutig und dauerhaft als Kopie erkennbar ist. Andere Personen als der Ausweisinhaber dürfen die Kopie nicht an Dritte weitergeben. Werden durch Ablichtung personenbezogene Daten aus dem Personalausweis erhoben oder verarbeitet, so darf die datenerhebende oder -verarbeitende Stelle dies nur mit Einwilligung des Ausweisinhabers tun. Die Vorschriften des allgemeinen Datenschutzrechts über die Erhebung und Verwendung personenbezogener Daten bleiben unberührt.</w:t>
      </w:r>
    </w:p>
    <w:p>
      <w:r>
        <w:t xml:space="preserve">(3) Die Seriennummern dürfen nicht mit Hilfe automatisierter Verfahren zum Abruf oder zur Verknüpfung personenbezogener Daten verwendet werden. Abweichend hiervon dürfen die Seriennummern mit Hilfe automatisierter Verfahren zum Abruf verwenden</w:t>
      </w:r>
    </w:p>
    <w:p>
      <w:pPr>
        <w:ind w:left="420"/>
      </w:pPr>
      <w:r>
        <w:t xml:space="preserve">1. die Personalausweisbehörden zur Erfüllung ihrer Aufgaben,</w:t>
      </w:r>
    </w:p>
    <w:p>
      <w:pPr>
        <w:ind w:left="420"/>
      </w:pPr>
      <w:r>
        <w:t xml:space="preserve">2. die Polizeibehörden des Bundes und der Länder, der Militärische Abschirmdienst, der Bundesnachrichtendienst, die Verfassungsschutzbehörden des Bundes und der Länder, die Steuerfahndungsdienststellen der Länder, der Zollfahndungsdienst und die Hauptzollämter zur Klärung,</w:t>
      </w:r>
    </w:p>
    <w:p>
      <w:pPr>
        <w:ind w:left="780"/>
      </w:pPr>
      <w:r>
        <w:t xml:space="preserve">a) wer Inhaber des Personalausweises ist für den Fall, dass eine ausländische öffentliche Stelle die Seriennummer des Personalausweises übermittelt hat und anhand der übrigen von der ausländischen Stelle übermittelten Daten eine Feststellung des Ausweisinhabers nicht möglich ist,</w:t>
      </w:r>
    </w:p>
    <w:p>
      <w:pPr>
        <w:ind w:left="780"/>
      </w:pPr>
      <w:r>
        <w:t xml:space="preserve">b) ob der Personalausweis durch einen Nichtberechtigten genutzt wird oder</w:t>
      </w:r>
    </w:p>
    <w:p>
      <w:pPr>
        <w:ind w:left="780"/>
      </w:pPr>
      <w:r>
        <w:t xml:space="preserve">c) ob der Personalausweis für ungültig erklärt oder abhandengekommen ist.</w:t>
      </w:r>
    </w:p>
    <w:p>
      <w:r>
        <w:t xml:space="preserve">Der Ausweishersteller hat öffentlichen Stellen auf deren Verlangen die ausstellende Behörde mitzuteilen. Nichtöffentliche Stellen dürfen die Seriennummern, die Sperrkennwörter und die Sperrmerkmale nicht so verwenden, dass mit ihrer Hilfe ein automatisierter Abruf personenbezogener Daten oder eine Verknüpfung von Dateien möglich ist. Dies gilt nicht für den Abgleich von Sperrmerkmalen durch Diensteanbieter zum Zweck der Überprüfung, ob ein elektronischer Identitätsnachweis gesperrt ist.</w:t>
      </w:r>
    </w:p>
    <w:p>
      <w:r>
        <w:t xml:space="preserve">(3a) Öffentliche Stellen dürfen, wenn dies durch ein Gesetz oder auf Grund eines Gesetzes bestimmt ist, mit Zustimmung des Personalausweisinhabers zur Prüfung der Identität des Personalausweisinhabers</w:t>
      </w:r>
    </w:p>
    <w:p>
      <w:pPr>
        <w:ind w:left="420"/>
      </w:pPr>
      <w:r>
        <w:t xml:space="preserve">1. die auf dem elektronischen Speicher- und Verarbeitungsmedium gespeicherten Daten nach § 5 Absatz 4 Satz 2 und die Daten, die zur Überprüfung der Echtheit des Personalausweises erforderlich sind, sowie das auf dem elektronischen Speicher- und Verarbeitungsmedium gespeicherte Lichtbild auslesen und</w:t>
      </w:r>
    </w:p>
    <w:p>
      <w:pPr>
        <w:ind w:left="420"/>
      </w:pPr>
      <w:r>
        <w:t xml:space="preserve">2. von den ausgelesenen Daten ausschließlich das Lichtbild, die Daten nach § 5 Absatz 4 Satz 2 Nummer 1 bis 3, 6, 7 sowie die Daten, die zur Überprüfung der Echtheit des Personalausweises erforderlich sind, verwenden.</w:t>
      </w:r>
    </w:p>
    <w:p>
      <w:r>
        <w:t xml:space="preserve">Anlässlich der Datenverarbeitung nach Satz 1 überprüft die verarbeitende öffentliche Stelle die Echtheit des Personalausweises. Von den nach Satz 1 Nummer 1 ausgelesenen Daten sind die Daten nach Satz 1 Nummer 2 von der verarbeitenden öffentlichen Stelle unverzüglich nach Beendigung der Prüfung der Identität des Inhabers, die übrigen Daten unverzüglich nach dem Auslesen zu löschen, soweit dies nicht durch Gesetz oder auf Grund eines Gesetzes abweichend geregelt ist.</w:t>
      </w:r>
    </w:p>
    <w:p>
      <w:r>
        <w:t xml:space="preserve">(4) Beförderungsunternehmen dürfen personenbezogene Daten aus der maschinenlesbaren Zone des Personalausweises elektronisch nur auslesen und verarbeiten, soweit sie auf Grund internationaler Abkommen oder Einreisebestimmungen zur Mitwirkung an Kontrolltätigkeiten im internationalen Reiseverkehr und zur Übermittlung personenbezogener Daten verpflichtet sind. Biometrische Daten dürfen nicht ausgelesen werden. Die Daten sind unverzüglich zu löschen, wenn sie für die Erfüllung dieser Pflichten nicht mehr erforderlich sind.</w:t>
      </w:r>
    </w:p>
    <w:p>
      <w:r>
        <w:t xml:space="preserve">(4a) Abweichend von Absatz 4 dürfen Luftfahrtunternehmen sowie die in § 19e Absatz 8 des Luftverkehrsgesetzes genannten Stellen personenbezogene Daten sowohl aus der maschinenlesbaren Zone des Personalausweises als auch aus dem Chip des Personalausweises unter den Voraussetzungen des § 19e des Luftverkehrsgesetzes auslesen.</w:t>
      </w:r>
    </w:p>
    <w:p>
      <w:r>
        <w:t xml:space="preserve">(5) Zum Zwecke des Jugendschutzes und mit Einwilligung des Ausweisinhabers dürfen die in § 5 Absatz 4 Satz 2 Nummer 6 und 7 genannten Daten aus der maschinenlesbaren Zone des Personalausweises erhoben werden, um das Alter des Ausweisinhabers und die Gültigkeit des Ausweises zu überprüfen. Eine Speicherung der Daten ist unzulässig.</w:t>
      </w:r>
    </w:p>
    <w:p>
      <w:r>
        <w:rPr>
          <w:color w:val="555555"/>
          <w:sz w:val="17"/>
        </w:rPr>
        <w:t xml:space="preserve">Zitiervorschlag: § 20 PAuswG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