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PAuswG — Verarbeitung der sichtbaren Daten des Personalausweises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Die in § 16 Absatz 1 Satz 1 genannten Behörden dürfen die auf dem Personalausweis sichtbar aufgedruckten Daten durch nicht automatisierte Verfahren erheben und verwenden, sofern sie dazu durch ein Gesetz oder auf Grund eines Gesetzes berechtigt sind.</w:t>
      </w:r>
    </w:p>
    <w:p>
      <w:r>
        <w:t xml:space="preserve">(2) Können die Daten aus dem elektronischen Speicher- und Verarbeitungsmedium des Personalausweises nach § 16 Absatz 1 Satz 1 nicht ausgelesen werden, dürfen die dort genannten Behörden die Daten der maschinenlesbaren Zone nach § 5 Absatz 2 Satz 2 automatisiert auslesen und unter den Voraussetzungen des § 16 Absatz 2 speichern. § 16 Absatz 1 Satz 2, Absatz 2 Satz 2 gilt entsprechend.</w:t>
      </w:r>
    </w:p>
    <w:p>
      <w:r>
        <w:rPr>
          <w:color w:val="555555"/>
          <w:sz w:val="17"/>
        </w:rPr>
        <w:t xml:space="preserve">Zitiervorschlag: § 17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