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PAuswG — Erhebung und Verwendung personenbezogener Daten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und Verwendung personenbezogener Daten aus dem Ausweis oder mithilfe des Ausweises darf ausschließlich erfolgen durch</w:t>
      </w:r>
    </w:p>
    <w:p>
      <w:pPr>
        <w:ind w:left="420"/>
      </w:pPr>
      <w:r>
        <w:t xml:space="preserve">1. zur Identitätsfeststellung berechtigte Behörden nach Maßgabe der §§ 15 bis 17,</w:t>
      </w:r>
    </w:p>
    <w:p>
      <w:pPr>
        <w:ind w:left="420"/>
      </w:pPr>
      <w:r>
        <w:t xml:space="preserve">2. öffentliche Stellen und nichtöffentliche Stellen nach Maßgabe der §§ 18 bis 20.</w:t>
      </w:r>
    </w:p>
    <w:p>
      <w:r>
        <w:rPr>
          <w:color w:val="555555"/>
          <w:sz w:val="17"/>
        </w:rPr>
        <w:t xml:space="preserve">Zitiervorschlag: § 14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