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10a PAuswG — Einrichtung des elektronischen Identitätsnachweises mit einem mobilen Endgerät</w:t>
      </w:r>
    </w:p>
    <w:p>
      <w:r>
        <w:rPr>
          <w:color w:val="555555"/>
          <w:sz w:val="18"/>
        </w:rPr>
        <w:t xml:space="preserve">Personalausweisgesetz</w:t>
      </w:r>
    </w:p>
    <w:p>
      <w:r>
        <w:rPr>
          <w:color w:val="555555"/>
          <w:sz w:val="18"/>
        </w:rPr>
        <w:t xml:space="preserve">Stand: 01.09.2021 (konsolidierte Textfassung, kein amtliches Inkrafttretensdatum)</w:t>
      </w:r>
    </w:p>
    <w:p>
      <w:r>
        <w:t xml:space="preserve">(1) Auf elektronische Veranlassung durch den Ausweisinhaber übermittelt der Ausweishersteller die Daten nach § 5 Absatz 5a aus dem elektronischen Speicher- und Verarbeitungsmedium des Personalausweises in einem sicheren Verfahren auf ein elektronisches Speicher- und Verarbeitungsmedium in einem mobilen Endgerät. Der Ausweisinhaber weist seine Identität gegenüber dem Ausweishersteller mit einem elektronischen Identitätsnachweis nach § 18 nach. Ferner hat der Ausweishersteller Maßnahmen gegen eine missbräuchliche Verwendung der Daten im Anschluss an die Übermittlung der Daten auf das elektronische Speicher- und Verarbeitungsmedium in dem mobilen Endgerät vorzusehen. Der Ausweisinhaber ist auf seine Pflichten nach § 27 Absatz 2 sowie darauf hinzuweisen, dass das mobile Endgerät hinsichtlich der in seinem elektronischen Speicher- und Verarbeitungsmedium nach Absatz 1 gespeicherten Daten mit besonderer Sorgfalt zu behandeln ist.</w:t>
      </w:r>
    </w:p>
    <w:p>
      <w:r>
        <w:t xml:space="preserve">(2) Die Gültigkeitsdauer eines elektronischen Identitätsnachweises nach § 18 Absatz 2 Satz 1 Nummer 2 auf Grundlage einer Übermittlung der Daten nach Absatz 1 beträgt fünf Jahre. Eine Verlängerung der Gültigkeitsdauer ist nicht zulässig. Durch Rechtsverordnung nach § 34 Satz 1 Nummer 8a kann eine kürzere Gültigkeitsdauer festgelegt werden. Eine Übermittlung nach Absatz 1 Satz 1 kann mehrfach durchgeführt werden.</w:t>
      </w:r>
    </w:p>
    <w:p>
      <w:r>
        <w:t xml:space="preserve">(3) Im Zuge der Übermittlung nach Absatz 1 Satz 1 erzeugt der Ausweishersteller einen neuen Sperrschlüssel sowie eine neue Sperrsumme und übermittelt diese Daten sowie den letzten Tag der Gültigkeit an den Sperrlistenbetreiber. § 10 Absatz 4 und Absatz 6 Satz 1 gilt entsprechend. Der Ausweisinhaber kann die Daten auf dem mobilen Endgerät selbst löschen.</w:t>
      </w:r>
    </w:p>
    <w:p>
      <w:r>
        <w:t xml:space="preserve">(4) Werden die auf das elektronische Speicher- und Verarbeitungsmedium des mobilen Endgeräts übermittelten Daten nach Absatz 1 Satz 1 unrichtig, darf ein elektronischer Identitätsnachweis nach § 18 Absatz 2 Satz 1 Nummer 2 nicht durchgeführt werden. Vor einer weiteren Nutzung ist erneut eine Übermittlung nach Absatz 1 unter Verwendung des elektronischen Speicher- und Verarbeitungsmediums des Personalausweises mit den richtigen Daten durchzuführen.</w:t>
      </w:r>
    </w:p>
    <w:p>
      <w:r>
        <w:t xml:space="preserve">(5) Auf elektronischen Antrag des Ausweisinhabers hat der Ausweishersteller diesem Auskunft zu erteilen darüber, jeweils zu welchem Datum und zu welcher Uhrzeit eine Übermittlung nach Absatz 1 Satz 1 der Daten des Personalausweises des Ausweisinhabers auf ein elektronisches Speicher- und Verarbeitungsmedium in einem mobilen Endgerät durchgeführt wurde, sowie über jeweils den letzten Tag der Gültigkeitsdauer, das Sperrkennwort und den Hersteller und die Modellbezeichnung des mobilen Endgeräts. Zur Identifizierung der antragstellenden Person hat der Ausweishersteller zur Person des Ausweisinhabers einen elektronischen Identitätsnachweis nach § 18 durchzuführen.</w:t>
      </w:r>
    </w:p>
    <w:p>
      <w:r>
        <w:rPr>
          <w:color w:val="555555"/>
          <w:sz w:val="17"/>
        </w:rPr>
        <w:t xml:space="preserve">Zitiervorschlag: § 10a PAuswG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https://recht.nulegal.eu/gesetze/PAuswG/10a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