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PAngV 2022 — Preisangaben im Handel</w:t>
      </w:r>
    </w:p>
    <w:p>
      <w:r>
        <w:rPr>
          <w:color w:val="555555"/>
          <w:sz w:val="18"/>
        </w:rPr>
        <w:t xml:space="preserve">Preisangabenverordnung</w:t>
      </w:r>
    </w:p>
    <w:p>
      <w:r>
        <w:rPr>
          <w:color w:val="555555"/>
          <w:sz w:val="18"/>
        </w:rPr>
        <w:t xml:space="preserve">Stand: 28.05.2022 (konsolidierte Textfassung, kein amtliches Inkrafttretensdatum)</w:t>
      </w:r>
    </w:p>
    <w:p>
      <w:r>
        <w:t xml:space="preserve">(1) Wer Verbrauchern Waren, die von diesen unmittelbar entnommen werden können, anbietet, hat die Waren durch Preisschilder oder Beschriftung der Waren auszuzeichnen. Satz 1 gilt auch für das sichtbare Anbieten von Waren innerhalb oder außerhalb des Verkaufsraumes in Schaufenstern, Schaukästen, auf Regalen, Verkaufsständen oder in sonstiger Weise.</w:t>
      </w:r>
    </w:p>
    <w:p>
      <w:r>
        <w:t xml:space="preserve">(2) Wer Verbrauchern Waren nicht unter den in Absatz 1 genannten Voraussetzungen im Verkaufsraum anbietet, hat diese Waren durch Preisschilder, Beschriftung der Ware, Anbringung oder Auslage von Preisverzeichnissen oder Beschriftung der Behältnisse oder Regale, in denen sich die Waren befinden, auszuzeichnen.</w:t>
      </w:r>
    </w:p>
    <w:p>
      <w:r>
        <w:t xml:space="preserve">(3) Wer Waren nach Musterbüchern anbietet, hat diese Waren durch Angabe der Preise für die Verkaufseinheit auf den Mustern oder damit verbundenen Preisschildern oder in Preisverzeichnissen auszuzeichnen.</w:t>
      </w:r>
    </w:p>
    <w:p>
      <w:r>
        <w:t xml:space="preserve">(4) Wer Waren nach Katalogen oder Warenlisten oder auf Bildschirmen anbietet, hat diese Waren durch unmittelbare Angabe der Preise bei den Abbildungen oder Beschreibungen der Waren oder in Preisverzeichnissen, die mit den Katalogen oder Warenlisten im Zusammenhang stehen, auszuzeichnen.</w:t>
      </w:r>
    </w:p>
    <w:p>
      <w:r>
        <w:t xml:space="preserve">(5) Wer Waren anbietet, deren Preise üblicherweise auf Grund von Tarifen oder Gebührenregelungen bemessen werden, hat Preisverzeichnisse nach Maßgabe des § 12 Absatz 1 und 2 aufzustellen und bekannt zu machen.</w:t>
      </w:r>
    </w:p>
    <w:p>
      <w:r>
        <w:t xml:space="preserve">(6) Die Absätze 1 bis 5 sind nicht anzuwenden auf</w:t>
      </w:r>
    </w:p>
    <w:p>
      <w:pPr>
        <w:ind w:left="420"/>
      </w:pPr>
      <w:r>
        <w:t xml:space="preserve">1. Kunstgegenstände, Sammlungsstücke und Antiquitäten im Sinne des Kapitels 97 des Anhangs I der Verordnung (EWG) Nr. 2658/87 des Rates vom 23. Juli 1987 über die zolltarifliche und statistische Nomenklatur sowie den Gemeinsamen Zolltarif (ABl. L 256 vom 7.9.1987, S. 1), die zuletzt durch die Durchführungsverordnung (EU) 2020/2159 (ABl. L 431 vom 21.12.2020, S. 34) geändert worden ist;</w:t>
      </w:r>
    </w:p>
    <w:p>
      <w:pPr>
        <w:ind w:left="420"/>
      </w:pPr>
      <w:r>
        <w:t xml:space="preserve">2. Waren, die in Werbevorführungen angeboten werden, sofern der Preis der jeweiligen Ware bei deren Vorführung und unmittelbar vor Abschluss des Kaufvertrags genannt wird;</w:t>
      </w:r>
    </w:p>
    <w:p>
      <w:pPr>
        <w:ind w:left="420"/>
      </w:pPr>
      <w:r>
        <w:t xml:space="preserve">3. Blumen und Pflanzen, die unmittelbar vom Freiland, Treibbeet oder Treibhaus verkauft werden.</w:t>
      </w:r>
    </w:p>
    <w:p>
      <w:r>
        <w:rPr>
          <w:color w:val="555555"/>
          <w:sz w:val="17"/>
        </w:rPr>
        <w:t xml:space="preserve">Zitiervorschlag: § 10 PAngV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https://recht.nulegal.eu/gesetze/PAngV%202022/10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PAngV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