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PAO157Abs2DV — Inkrafttreten</w:t>
      </w:r>
    </w:p>
    <w:p>
      <w:r>
        <w:rPr>
          <w:color w:val="555555"/>
          <w:sz w:val="18"/>
        </w:rPr>
        <w:t xml:space="preserve">Verordnung zur Durchführung des § 157 Absatz 2 der Patentanwaltsordnung</w:t>
      </w:r>
    </w:p>
    <w:p>
      <w:r>
        <w:rPr>
          <w:color w:val="555555"/>
          <w:sz w:val="18"/>
        </w:rPr>
        <w:t xml:space="preserve">Stand: 23.08.2022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PAO157Abs2DV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https://recht.nulegal.eu/gesetze/PAO157Abs2DV/2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