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PAO157Abs2DV — Patentanwaltsberufe aus Mitgliedstaaten der Welthandelsorganisation</w:t>
      </w:r>
    </w:p>
    <w:p>
      <w:r>
        <w:rPr>
          <w:color w:val="555555"/>
          <w:sz w:val="18"/>
        </w:rPr>
        <w:t xml:space="preserve">Verordnung zur Durchführung des § 157 Absatz 2 der Patentanwaltsordnung</w:t>
      </w:r>
    </w:p>
    <w:p>
      <w:r>
        <w:rPr>
          <w:color w:val="555555"/>
          <w:sz w:val="18"/>
        </w:rPr>
        <w:t xml:space="preserve">Stand: 23.08.2022 (konsolidierte Textfassung, kein amtliches Inkrafttretensdatum)</w:t>
      </w:r>
    </w:p>
    <w:p>
      <w:r>
        <w:t xml:space="preserve">Die in der Anlage aufgeführten Berufe der dort bezeichneten Staaten und Gebiete erfüllen die Voraussetzungen des § 157 Absatz 2 Satz 1 der Patentanwaltsordnung.</w:t>
      </w:r>
    </w:p>
    <w:p>
      <w:r>
        <w:rPr>
          <w:color w:val="555555"/>
          <w:sz w:val="17"/>
        </w:rPr>
        <w:t xml:space="preserve">Zitiervorschlag: § 1 PAO157Abs2DV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https://recht.nulegal.eu/gesetze/PAO157Abs2DV/1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